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Религиозная организация –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духовная образовательная организация высшего образования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«МОСКОВСКАЯ ДУХОВНАЯ АКАДЕМИЯ</w:t>
      </w:r>
    </w:p>
    <w:p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РУССКОЙ ПРАВОСЛАВНОЙ ЦЕРКВИ»</w:t>
      </w:r>
    </w:p>
    <w:p w:rsidR="00E449CF" w:rsidRPr="00D0107E" w:rsidRDefault="00E449CF" w:rsidP="00E449CF">
      <w:pPr>
        <w:jc w:val="center"/>
        <w:rPr>
          <w:rFonts w:eastAsia="PT Serif"/>
          <w:sz w:val="28"/>
          <w:szCs w:val="28"/>
        </w:rPr>
      </w:pPr>
    </w:p>
    <w:p w:rsidR="00E449CF" w:rsidRPr="00D0107E" w:rsidRDefault="00E449CF" w:rsidP="00E449CF">
      <w:pPr>
        <w:jc w:val="center"/>
        <w:rPr>
          <w:sz w:val="28"/>
          <w:szCs w:val="28"/>
        </w:rPr>
      </w:pPr>
    </w:p>
    <w:p w:rsidR="00E449CF" w:rsidRPr="00D0107E" w:rsidRDefault="00E449CF" w:rsidP="00E449CF">
      <w:pPr>
        <w:jc w:val="center"/>
        <w:rPr>
          <w:noProof/>
          <w:sz w:val="28"/>
          <w:szCs w:val="28"/>
        </w:rPr>
      </w:pPr>
      <w:r w:rsidRPr="00D0107E">
        <w:rPr>
          <w:noProof/>
          <w:sz w:val="28"/>
          <w:szCs w:val="28"/>
        </w:rPr>
        <w:drawing>
          <wp:inline distT="0" distB="0" distL="0" distR="0" wp14:anchorId="6047E799" wp14:editId="418CCBBF">
            <wp:extent cx="2501660" cy="1291533"/>
            <wp:effectExtent l="0" t="0" r="0" b="4445"/>
            <wp:docPr id="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01" cy="1293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449CF" w:rsidRPr="00D0107E" w:rsidRDefault="00E449CF" w:rsidP="00E449CF">
      <w:pPr>
        <w:jc w:val="center"/>
        <w:rPr>
          <w:sz w:val="28"/>
          <w:szCs w:val="28"/>
        </w:rPr>
      </w:pPr>
    </w:p>
    <w:p w:rsidR="00E449CF" w:rsidRPr="00D0107E" w:rsidRDefault="004661C4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  <w:lang w:val="en-US"/>
        </w:rPr>
        <w:t>VI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</w:t>
      </w:r>
      <w:r w:rsidR="00E449CF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Всероссийская научно-богословская конференция</w:t>
      </w:r>
    </w:p>
    <w:p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Православное богословие: традиции и современность</w:t>
      </w:r>
    </w:p>
    <w:p w:rsidR="004661C4" w:rsidRPr="00D0107E" w:rsidRDefault="004661C4" w:rsidP="004661C4">
      <w:pPr>
        <w:ind w:left="567" w:right="991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845599"/>
      <w:r w:rsidRPr="00D0107E">
        <w:rPr>
          <w:rFonts w:ascii="Times New Roman" w:hAnsi="Times New Roman" w:cs="Times New Roman"/>
          <w:sz w:val="28"/>
          <w:szCs w:val="28"/>
        </w:rPr>
        <w:t>«ЗАПАДНОЕ ПЛЕНЕНИЕ РУССКОГО БОГОСЛОВИЯ: PRO ET CONTRA»</w:t>
      </w:r>
    </w:p>
    <w:bookmarkEnd w:id="0"/>
    <w:p w:rsidR="00F67707" w:rsidRPr="00D0107E" w:rsidRDefault="00E449CF" w:rsidP="004661C4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Конференция </w:t>
      </w:r>
      <w:r w:rsidR="004661C4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посвящена предстоящему 430-летию со дня рождения свт. Петра (Могилы)</w:t>
      </w:r>
    </w:p>
    <w:p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</w:p>
    <w:p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b/>
          <w:sz w:val="28"/>
          <w:szCs w:val="28"/>
          <w:u w:color="000000"/>
        </w:rPr>
        <w:t>ПРОГРАММА</w:t>
      </w:r>
    </w:p>
    <w:p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</w:p>
    <w:p w:rsidR="00542459" w:rsidRPr="00D0107E" w:rsidRDefault="004661C4" w:rsidP="005401B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25 ноября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202</w:t>
      </w: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5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года</w:t>
      </w:r>
    </w:p>
    <w:p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:rsidR="00542459" w:rsidRPr="00D0107E" w:rsidRDefault="00913F8B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Начало конференции —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1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</w:p>
    <w:p w:rsidR="00913F8B" w:rsidRPr="00D0107E" w:rsidRDefault="00913F8B" w:rsidP="00913F8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Место: Кафедра богословия МДА</w:t>
      </w: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Модератор</w:t>
      </w:r>
      <w:r w:rsidR="00913F8B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: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доцент, священник Стефан Домусчи</w:t>
      </w:r>
    </w:p>
    <w:p w:rsidR="00263359" w:rsidRPr="00D0107E" w:rsidRDefault="00263359" w:rsidP="00913F8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Окончание конференции в 13:30</w:t>
      </w:r>
    </w:p>
    <w:p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010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Обед 13:30 – 14:20</w:t>
      </w:r>
    </w:p>
    <w:p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выступлений – до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минут, обсуждение –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минут</w:t>
      </w:r>
    </w:p>
    <w:p w:rsidR="00E449CF" w:rsidRPr="00D0107E" w:rsidRDefault="00E449CF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E13" w:rsidRPr="00D0107E" w:rsidRDefault="00E91E13" w:rsidP="002633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263359" w:rsidRPr="00D0107E" w:rsidRDefault="00263359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F9A" w:rsidRPr="00D0107E" w:rsidRDefault="00D93F9A" w:rsidP="00D0107E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lastRenderedPageBreak/>
        <w:t>Карпов Кирилл Витальевич</w:t>
      </w:r>
      <w:r w:rsidRPr="00D0107E">
        <w:rPr>
          <w:sz w:val="28"/>
          <w:szCs w:val="28"/>
        </w:rPr>
        <w:t xml:space="preserve">, </w:t>
      </w:r>
      <w:bookmarkStart w:id="1" w:name="_Hlk213845944"/>
      <w:r w:rsidRPr="00D0107E">
        <w:rPr>
          <w:sz w:val="28"/>
          <w:szCs w:val="28"/>
        </w:rPr>
        <w:t xml:space="preserve">кандидат философских наук, старший научный сотрудник Института философии РАН. </w:t>
      </w:r>
      <w:bookmarkEnd w:id="1"/>
      <w:r w:rsidRPr="00D0107E">
        <w:rPr>
          <w:i/>
          <w:iCs/>
          <w:sz w:val="28"/>
          <w:szCs w:val="28"/>
        </w:rPr>
        <w:t>Богословский курс Феофилакта Лопатинского (1706–1710 гг.): к вопросу о западном пленении русского богословия (</w:t>
      </w:r>
      <w:r w:rsidRPr="00D0107E">
        <w:rPr>
          <w:sz w:val="28"/>
          <w:szCs w:val="28"/>
        </w:rPr>
        <w:t xml:space="preserve">доклад подготовлен в рамках исследования, поддержанного РНФ № 25-28-01031, </w:t>
      </w:r>
      <w:hyperlink r:id="rId6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i/>
          <w:iCs/>
          <w:sz w:val="28"/>
          <w:szCs w:val="28"/>
        </w:rPr>
        <w:t>)</w:t>
      </w:r>
    </w:p>
    <w:p w:rsidR="00FE146C" w:rsidRPr="00FE146C" w:rsidRDefault="00FE146C" w:rsidP="00FE146C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proofErr w:type="spellStart"/>
      <w:r w:rsidRPr="00D0107E">
        <w:rPr>
          <w:b/>
          <w:bCs/>
          <w:sz w:val="28"/>
          <w:szCs w:val="28"/>
        </w:rPr>
        <w:t>Ячменик</w:t>
      </w:r>
      <w:proofErr w:type="spellEnd"/>
      <w:r w:rsidRPr="00D0107E">
        <w:rPr>
          <w:b/>
          <w:bCs/>
          <w:sz w:val="28"/>
          <w:szCs w:val="28"/>
        </w:rPr>
        <w:t xml:space="preserve"> Вячеслав Александрович, </w:t>
      </w:r>
      <w:r w:rsidRPr="00D0107E">
        <w:rPr>
          <w:sz w:val="28"/>
          <w:szCs w:val="28"/>
        </w:rPr>
        <w:t xml:space="preserve">кандидат теологии, научный сотрудник Лаборатории исследований церковных институций ПСТГУ. </w:t>
      </w:r>
      <w:proofErr w:type="spellStart"/>
      <w:r w:rsidRPr="00D0107E">
        <w:rPr>
          <w:i/>
          <w:iCs/>
          <w:sz w:val="28"/>
          <w:szCs w:val="28"/>
        </w:rPr>
        <w:t>Теологизация</w:t>
      </w:r>
      <w:proofErr w:type="spellEnd"/>
      <w:r w:rsidRPr="00D0107E">
        <w:rPr>
          <w:i/>
          <w:iCs/>
          <w:sz w:val="28"/>
          <w:szCs w:val="28"/>
        </w:rPr>
        <w:t xml:space="preserve"> понятия «рецепция» в немецко- и русскоязычном контекстах на рубеже XIX и XX в.</w:t>
      </w:r>
    </w:p>
    <w:p w:rsidR="001B16A4" w:rsidRPr="00D0107E" w:rsidRDefault="001C2EC9" w:rsidP="001B16A4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Игумен Адриан (Пашин Александр Васильевич), </w:t>
      </w:r>
      <w:r w:rsidRPr="00D0107E">
        <w:rPr>
          <w:sz w:val="28"/>
          <w:szCs w:val="28"/>
        </w:rPr>
        <w:t xml:space="preserve">кандидат физико-математических наук, кандидат богословия, доцент, профессор кафедры богословия. </w:t>
      </w:r>
      <w:r w:rsidRPr="00D0107E">
        <w:rPr>
          <w:i/>
          <w:iCs/>
          <w:sz w:val="28"/>
          <w:szCs w:val="28"/>
        </w:rPr>
        <w:t>Догматическое богословие: перспективы учебной дисциплины.</w:t>
      </w:r>
    </w:p>
    <w:p w:rsidR="00430681" w:rsidRPr="00D0107E" w:rsidRDefault="00430681" w:rsidP="00430681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="PT Serif"/>
          <w:b/>
          <w:bCs/>
          <w:iCs/>
          <w:sz w:val="28"/>
          <w:szCs w:val="28"/>
          <w:u w:color="000000"/>
        </w:rPr>
        <w:t>Священник Антоний Борисов</w:t>
      </w:r>
      <w:r w:rsidRPr="00D0107E">
        <w:rPr>
          <w:rFonts w:eastAsia="PT Serif"/>
          <w:iCs/>
          <w:sz w:val="28"/>
          <w:szCs w:val="28"/>
          <w:u w:color="000000"/>
        </w:rPr>
        <w:t xml:space="preserve">, кандидат богословия, 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Влияние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западнохристианских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подходов на православное понимание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инославия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: от самоизоляции </w:t>
      </w:r>
      <w:proofErr w:type="spellStart"/>
      <w:r w:rsidRPr="00D0107E">
        <w:rPr>
          <w:rFonts w:eastAsia="PT Serif"/>
          <w:i/>
          <w:sz w:val="28"/>
          <w:szCs w:val="28"/>
          <w:u w:color="000000"/>
        </w:rPr>
        <w:t>конфессионализма</w:t>
      </w:r>
      <w:proofErr w:type="spellEnd"/>
      <w:r w:rsidRPr="00D0107E">
        <w:rPr>
          <w:rFonts w:eastAsia="PT Serif"/>
          <w:i/>
          <w:sz w:val="28"/>
          <w:szCs w:val="28"/>
          <w:u w:color="000000"/>
        </w:rPr>
        <w:t xml:space="preserve"> до безразличия экуменизма.</w:t>
      </w:r>
      <w:r w:rsidRPr="00D0107E">
        <w:rPr>
          <w:rFonts w:eastAsia="PT Serif"/>
          <w:iCs/>
          <w:sz w:val="28"/>
          <w:szCs w:val="28"/>
          <w:u w:color="000000"/>
        </w:rPr>
        <w:t xml:space="preserve"> </w:t>
      </w:r>
    </w:p>
    <w:p w:rsidR="005906C1" w:rsidRPr="00D0107E" w:rsidRDefault="005906C1" w:rsidP="00D0107E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rFonts w:eastAsia="PT Serif"/>
          <w:b/>
          <w:bCs/>
          <w:color w:val="000000"/>
          <w:sz w:val="28"/>
          <w:szCs w:val="28"/>
          <w:u w:color="000000"/>
          <w:bdr w:val="nil"/>
        </w:rPr>
        <w:t xml:space="preserve">Шпаковский Михаил Викторович, </w:t>
      </w:r>
      <w:r w:rsidRPr="00D0107E">
        <w:rPr>
          <w:sz w:val="28"/>
          <w:szCs w:val="28"/>
        </w:rPr>
        <w:t>кандидат философских наук, научный сотрудник Института философии РАН.</w:t>
      </w:r>
      <w:r w:rsidR="00D0107E" w:rsidRPr="00D0107E">
        <w:rPr>
          <w:sz w:val="28"/>
          <w:szCs w:val="28"/>
        </w:rPr>
        <w:t xml:space="preserve"> </w:t>
      </w:r>
      <w:r w:rsidRPr="00D0107E">
        <w:rPr>
          <w:i/>
          <w:iCs/>
          <w:sz w:val="28"/>
          <w:szCs w:val="28"/>
        </w:rPr>
        <w:t>Доказательства бытия Бога в богословском курсе Феофилакта Лопатинского (1706–1710 гг.): проверка оценок Г. В. Флоровского на конкретном примере (</w:t>
      </w:r>
      <w:r w:rsidRPr="00D0107E">
        <w:rPr>
          <w:sz w:val="28"/>
          <w:szCs w:val="28"/>
        </w:rPr>
        <w:t xml:space="preserve">Исследование выполнено за счет гранта Российского научного фонда № 25-28-01031, </w:t>
      </w:r>
      <w:hyperlink r:id="rId7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sz w:val="28"/>
          <w:szCs w:val="28"/>
        </w:rPr>
        <w:t>)</w:t>
      </w:r>
    </w:p>
    <w:p w:rsidR="00D93F9A" w:rsidRPr="00D0107E" w:rsidRDefault="00D93F9A" w:rsidP="003E75D6">
      <w:pPr>
        <w:pStyle w:val="a4"/>
        <w:numPr>
          <w:ilvl w:val="0"/>
          <w:numId w:val="4"/>
        </w:numPr>
        <w:ind w:left="142"/>
        <w:jc w:val="both"/>
        <w:rPr>
          <w:i/>
          <w:sz w:val="28"/>
          <w:szCs w:val="28"/>
        </w:rPr>
      </w:pPr>
      <w:r w:rsidRPr="00D0107E">
        <w:rPr>
          <w:b/>
          <w:bCs/>
          <w:sz w:val="28"/>
          <w:szCs w:val="28"/>
        </w:rPr>
        <w:t>Священник Стефан Домусчи</w:t>
      </w:r>
      <w:r w:rsidRPr="00D0107E">
        <w:rPr>
          <w:sz w:val="28"/>
          <w:szCs w:val="28"/>
        </w:rPr>
        <w:t xml:space="preserve">, кандидат философских наук, кандидат богословия, </w:t>
      </w:r>
      <w:r w:rsidRPr="00D0107E">
        <w:rPr>
          <w:rFonts w:eastAsia="PT Serif"/>
          <w:iCs/>
          <w:sz w:val="28"/>
          <w:szCs w:val="28"/>
          <w:u w:color="000000"/>
        </w:rPr>
        <w:t xml:space="preserve">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Западное влияние на представления о совести в курсах Нравственного богословия 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XVIII</w:t>
      </w:r>
      <w:r w:rsidRPr="00D0107E">
        <w:rPr>
          <w:rFonts w:eastAsia="PT Serif"/>
          <w:i/>
          <w:sz w:val="28"/>
          <w:szCs w:val="28"/>
          <w:u w:color="000000"/>
        </w:rPr>
        <w:t>-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XIX</w:t>
      </w:r>
      <w:r w:rsidRPr="00D0107E">
        <w:rPr>
          <w:rFonts w:eastAsia="PT Serif"/>
          <w:i/>
          <w:sz w:val="28"/>
          <w:szCs w:val="28"/>
          <w:u w:color="000000"/>
        </w:rPr>
        <w:t xml:space="preserve"> вв. </w:t>
      </w:r>
    </w:p>
    <w:p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:rsidR="00430681" w:rsidRPr="00D0107E" w:rsidRDefault="00430681" w:rsidP="005906C1">
      <w:pPr>
        <w:pStyle w:val="a4"/>
        <w:spacing w:line="276" w:lineRule="auto"/>
        <w:ind w:left="284"/>
        <w:jc w:val="center"/>
        <w:rPr>
          <w:sz w:val="28"/>
          <w:szCs w:val="28"/>
        </w:rPr>
      </w:pPr>
      <w:r w:rsidRPr="00D0107E">
        <w:rPr>
          <w:sz w:val="28"/>
          <w:szCs w:val="28"/>
        </w:rPr>
        <w:t xml:space="preserve">Перерыв на обед </w:t>
      </w:r>
      <w:r w:rsidR="005906C1" w:rsidRPr="00D0107E">
        <w:rPr>
          <w:sz w:val="28"/>
          <w:szCs w:val="28"/>
        </w:rPr>
        <w:t>13:30-14:00</w:t>
      </w:r>
    </w:p>
    <w:p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:rsidR="003E75D6" w:rsidRPr="00D0107E" w:rsidRDefault="003E75D6" w:rsidP="003E75D6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Священник Александр Сухарев, </w:t>
      </w:r>
      <w:r w:rsidRPr="00D0107E">
        <w:rPr>
          <w:sz w:val="28"/>
          <w:szCs w:val="28"/>
        </w:rPr>
        <w:t xml:space="preserve">старший преподаватель кафедры богословия, кандидат богословия. </w:t>
      </w:r>
      <w:r w:rsidRPr="00D0107E">
        <w:rPr>
          <w:i/>
          <w:iCs/>
          <w:sz w:val="28"/>
          <w:szCs w:val="28"/>
        </w:rPr>
        <w:t>Протестантское «пленение» католической литургии.</w:t>
      </w:r>
      <w:r w:rsidRPr="00D0107E">
        <w:rPr>
          <w:sz w:val="28"/>
          <w:szCs w:val="28"/>
        </w:rPr>
        <w:t xml:space="preserve"> </w:t>
      </w:r>
    </w:p>
    <w:p w:rsidR="00FE4DD3" w:rsidRPr="00FE146C" w:rsidRDefault="001C47F4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Малышев Артем Владиславович, </w:t>
      </w:r>
      <w:r w:rsidRPr="00D0107E">
        <w:rPr>
          <w:sz w:val="28"/>
          <w:szCs w:val="28"/>
        </w:rPr>
        <w:t xml:space="preserve">кандидат теологии, доцент кафедры Систематического богословия и патрологии БФ ПСТГУ. </w:t>
      </w:r>
      <w:r w:rsidRPr="00D0107E">
        <w:rPr>
          <w:i/>
          <w:iCs/>
          <w:sz w:val="28"/>
          <w:szCs w:val="28"/>
        </w:rPr>
        <w:t>Дискуссии о взаимосвязи мученичества и аскетизма в русском академическом богословии второй половины XIX – начала XX века.</w:t>
      </w:r>
    </w:p>
    <w:p w:rsidR="00FE146C" w:rsidRPr="00FE146C" w:rsidRDefault="00FE146C" w:rsidP="00FE146C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Theme="minorHAnsi"/>
          <w:b/>
          <w:bCs/>
          <w:sz w:val="28"/>
          <w:szCs w:val="28"/>
        </w:rPr>
        <w:t>Священник Александр Ермолин</w:t>
      </w:r>
      <w:r w:rsidRPr="00D0107E">
        <w:rPr>
          <w:rFonts w:eastAsiaTheme="minorHAnsi"/>
          <w:sz w:val="28"/>
          <w:szCs w:val="28"/>
        </w:rPr>
        <w:t>, старший преподаватель кафедры богословия и философии Казанской православной духовной семинарии</w:t>
      </w:r>
      <w:r w:rsidRPr="00D0107E">
        <w:rPr>
          <w:sz w:val="28"/>
          <w:szCs w:val="28"/>
        </w:rPr>
        <w:t xml:space="preserve">. </w:t>
      </w:r>
      <w:r w:rsidRPr="00D0107E">
        <w:rPr>
          <w:i/>
          <w:iCs/>
          <w:sz w:val="28"/>
          <w:szCs w:val="28"/>
        </w:rPr>
        <w:t>Западное пленение русского богословия, поиск цивилизационного пути России и русской/российской идентичности в контексте миссионерского служения в наши дни.</w:t>
      </w:r>
    </w:p>
    <w:p w:rsidR="00FE146C" w:rsidRPr="00D0107E" w:rsidRDefault="00FE146C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Диакон Сергий Кожухов.</w:t>
      </w:r>
      <w:r>
        <w:rPr>
          <w:sz w:val="28"/>
          <w:szCs w:val="28"/>
        </w:rPr>
        <w:t xml:space="preserve"> Доцент кафедры богословия МДА. Кандидат богословия. </w:t>
      </w:r>
      <w:bookmarkStart w:id="2" w:name="_Hlk214368529"/>
      <w:bookmarkStart w:id="3" w:name="OLE_LINK1"/>
      <w:r w:rsidRPr="00FE146C">
        <w:rPr>
          <w:i/>
          <w:iCs/>
          <w:sz w:val="28"/>
          <w:szCs w:val="28"/>
        </w:rPr>
        <w:t>Древняя метафизика как наука и истинное знание о началах бытия своего времени</w:t>
      </w:r>
      <w:bookmarkEnd w:id="2"/>
      <w:bookmarkEnd w:id="3"/>
      <w:r w:rsidRPr="00FE146C">
        <w:rPr>
          <w:i/>
          <w:iCs/>
          <w:sz w:val="28"/>
          <w:szCs w:val="28"/>
        </w:rPr>
        <w:t>.</w:t>
      </w:r>
    </w:p>
    <w:p w:rsidR="003E75D6" w:rsidRPr="00D0107E" w:rsidRDefault="003E75D6" w:rsidP="003E75D6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sz w:val="28"/>
          <w:szCs w:val="28"/>
        </w:rPr>
        <w:lastRenderedPageBreak/>
        <w:t xml:space="preserve">Шелепова Надежда Ильинична, </w:t>
      </w:r>
      <w:r w:rsidRPr="00D0107E">
        <w:rPr>
          <w:bCs/>
          <w:sz w:val="28"/>
          <w:szCs w:val="28"/>
        </w:rPr>
        <w:t>преподаватель</w:t>
      </w:r>
      <w:r w:rsidRPr="00D0107E">
        <w:rPr>
          <w:b/>
          <w:sz w:val="28"/>
          <w:szCs w:val="28"/>
        </w:rPr>
        <w:t xml:space="preserve">, </w:t>
      </w:r>
      <w:r w:rsidRPr="00D0107E">
        <w:rPr>
          <w:sz w:val="28"/>
          <w:szCs w:val="28"/>
        </w:rPr>
        <w:t xml:space="preserve">кандидат философских наук. </w:t>
      </w:r>
      <w:r w:rsidRPr="00D0107E">
        <w:rPr>
          <w:i/>
          <w:iCs/>
          <w:sz w:val="28"/>
          <w:szCs w:val="28"/>
        </w:rPr>
        <w:t>Значение святоотеческой антропологии для современных гуманитарных наук.</w:t>
      </w:r>
    </w:p>
    <w:p w:rsidR="00FE4DD3" w:rsidRPr="00D0107E" w:rsidRDefault="00FE4DD3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Вадим Евгеньевич </w:t>
      </w:r>
      <w:proofErr w:type="spellStart"/>
      <w:r w:rsidRPr="00D0107E">
        <w:rPr>
          <w:b/>
          <w:bCs/>
          <w:sz w:val="28"/>
          <w:szCs w:val="28"/>
        </w:rPr>
        <w:t>Елиманов</w:t>
      </w:r>
      <w:proofErr w:type="spellEnd"/>
      <w:r w:rsidRPr="00D0107E">
        <w:rPr>
          <w:b/>
          <w:bCs/>
          <w:sz w:val="28"/>
          <w:szCs w:val="28"/>
        </w:rPr>
        <w:t>,</w:t>
      </w:r>
      <w:r w:rsidRPr="00D0107E">
        <w:rPr>
          <w:sz w:val="28"/>
          <w:szCs w:val="28"/>
        </w:rPr>
        <w:t xml:space="preserve"> старший преподаватель Московской духовной академии. </w:t>
      </w:r>
      <w:r w:rsidRPr="00D0107E">
        <w:rPr>
          <w:i/>
          <w:iCs/>
          <w:sz w:val="28"/>
          <w:szCs w:val="28"/>
        </w:rPr>
        <w:t>«</w:t>
      </w:r>
      <w:proofErr w:type="spellStart"/>
      <w:r w:rsidRPr="00D0107E">
        <w:rPr>
          <w:i/>
          <w:iCs/>
          <w:sz w:val="28"/>
          <w:szCs w:val="28"/>
        </w:rPr>
        <w:t>Самовидящий</w:t>
      </w:r>
      <w:proofErr w:type="spellEnd"/>
      <w:r w:rsidRPr="00D0107E">
        <w:rPr>
          <w:i/>
          <w:iCs/>
          <w:sz w:val="28"/>
          <w:szCs w:val="28"/>
        </w:rPr>
        <w:t xml:space="preserve"> свет» (</w:t>
      </w:r>
      <w:proofErr w:type="spellStart"/>
      <w:r w:rsidRPr="00D0107E">
        <w:rPr>
          <w:i/>
          <w:iCs/>
          <w:sz w:val="28"/>
          <w:szCs w:val="28"/>
        </w:rPr>
        <w:t>τὸ</w:t>
      </w:r>
      <w:proofErr w:type="spellEnd"/>
      <w:r w:rsidRPr="00D0107E">
        <w:rPr>
          <w:i/>
          <w:iCs/>
          <w:sz w:val="28"/>
          <w:szCs w:val="28"/>
        </w:rPr>
        <w:t xml:space="preserve"> </w:t>
      </w:r>
      <w:proofErr w:type="spellStart"/>
      <w:r w:rsidRPr="00D0107E">
        <w:rPr>
          <w:i/>
          <w:iCs/>
          <w:sz w:val="28"/>
          <w:szCs w:val="28"/>
        </w:rPr>
        <w:t>αὐτοπτικὸν φῶς</w:t>
      </w:r>
      <w:proofErr w:type="spellEnd"/>
      <w:r w:rsidRPr="00D0107E">
        <w:rPr>
          <w:i/>
          <w:iCs/>
          <w:sz w:val="28"/>
          <w:szCs w:val="28"/>
        </w:rPr>
        <w:t xml:space="preserve">) в богословско-философской системе свт. Григория </w:t>
      </w:r>
      <w:proofErr w:type="spellStart"/>
      <w:r w:rsidRPr="00D0107E">
        <w:rPr>
          <w:i/>
          <w:iCs/>
          <w:sz w:val="28"/>
          <w:szCs w:val="28"/>
        </w:rPr>
        <w:t>Паламы</w:t>
      </w:r>
      <w:proofErr w:type="spellEnd"/>
      <w:r w:rsidRPr="00D0107E">
        <w:rPr>
          <w:i/>
          <w:iCs/>
          <w:sz w:val="28"/>
          <w:szCs w:val="28"/>
        </w:rPr>
        <w:t>.</w:t>
      </w:r>
    </w:p>
    <w:p w:rsidR="00931AFD" w:rsidRPr="00D0107E" w:rsidRDefault="00931AFD" w:rsidP="00316627">
      <w:pPr>
        <w:spacing w:line="276" w:lineRule="auto"/>
        <w:rPr>
          <w:b/>
          <w:bCs/>
          <w:sz w:val="28"/>
          <w:szCs w:val="28"/>
        </w:rPr>
      </w:pPr>
    </w:p>
    <w:sectPr w:rsidR="00931AFD" w:rsidRPr="00D0107E" w:rsidSect="00CE118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69A"/>
    <w:multiLevelType w:val="hybridMultilevel"/>
    <w:tmpl w:val="8CD6985C"/>
    <w:lvl w:ilvl="0" w:tplc="FFFFFFFF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FA03D2"/>
    <w:multiLevelType w:val="hybridMultilevel"/>
    <w:tmpl w:val="035A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FD8"/>
    <w:multiLevelType w:val="hybridMultilevel"/>
    <w:tmpl w:val="F5EE351C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A6F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7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5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5C6"/>
    <w:multiLevelType w:val="hybridMultilevel"/>
    <w:tmpl w:val="B9F6C8EA"/>
    <w:lvl w:ilvl="0" w:tplc="C3AE84AA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0E2AD3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D121F"/>
    <w:multiLevelType w:val="hybridMultilevel"/>
    <w:tmpl w:val="E402BD7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247F2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505"/>
    <w:multiLevelType w:val="hybridMultilevel"/>
    <w:tmpl w:val="FA901386"/>
    <w:lvl w:ilvl="0" w:tplc="3898B0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055"/>
    <w:multiLevelType w:val="hybridMultilevel"/>
    <w:tmpl w:val="59E29FAE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45A"/>
    <w:multiLevelType w:val="hybridMultilevel"/>
    <w:tmpl w:val="03B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648">
    <w:abstractNumId w:val="6"/>
  </w:num>
  <w:num w:numId="2" w16cid:durableId="1552106659">
    <w:abstractNumId w:val="10"/>
  </w:num>
  <w:num w:numId="3" w16cid:durableId="135030026">
    <w:abstractNumId w:val="1"/>
  </w:num>
  <w:num w:numId="4" w16cid:durableId="1395811511">
    <w:abstractNumId w:val="2"/>
  </w:num>
  <w:num w:numId="5" w16cid:durableId="1295520574">
    <w:abstractNumId w:val="11"/>
  </w:num>
  <w:num w:numId="6" w16cid:durableId="510073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696401">
    <w:abstractNumId w:val="9"/>
  </w:num>
  <w:num w:numId="8" w16cid:durableId="1468428567">
    <w:abstractNumId w:val="5"/>
  </w:num>
  <w:num w:numId="9" w16cid:durableId="774444576">
    <w:abstractNumId w:val="7"/>
  </w:num>
  <w:num w:numId="10" w16cid:durableId="144854555">
    <w:abstractNumId w:val="3"/>
  </w:num>
  <w:num w:numId="11" w16cid:durableId="168763812">
    <w:abstractNumId w:val="4"/>
  </w:num>
  <w:num w:numId="12" w16cid:durableId="623121065">
    <w:abstractNumId w:val="0"/>
  </w:num>
  <w:num w:numId="13" w16cid:durableId="81818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13"/>
    <w:rsid w:val="00001E62"/>
    <w:rsid w:val="00017D66"/>
    <w:rsid w:val="0009790F"/>
    <w:rsid w:val="000B459E"/>
    <w:rsid w:val="000C4B4D"/>
    <w:rsid w:val="00145A3F"/>
    <w:rsid w:val="001B16A4"/>
    <w:rsid w:val="001C2EC9"/>
    <w:rsid w:val="001C47F4"/>
    <w:rsid w:val="001D293C"/>
    <w:rsid w:val="00263359"/>
    <w:rsid w:val="00316627"/>
    <w:rsid w:val="003B2EA7"/>
    <w:rsid w:val="003E75D6"/>
    <w:rsid w:val="003F39E6"/>
    <w:rsid w:val="00430681"/>
    <w:rsid w:val="004620F8"/>
    <w:rsid w:val="004661C4"/>
    <w:rsid w:val="004D3D7A"/>
    <w:rsid w:val="005401B1"/>
    <w:rsid w:val="00542459"/>
    <w:rsid w:val="005906C1"/>
    <w:rsid w:val="005C4429"/>
    <w:rsid w:val="0061609A"/>
    <w:rsid w:val="00695245"/>
    <w:rsid w:val="006B15A7"/>
    <w:rsid w:val="007347A5"/>
    <w:rsid w:val="00791C05"/>
    <w:rsid w:val="007A53E7"/>
    <w:rsid w:val="007B5EA3"/>
    <w:rsid w:val="008317CB"/>
    <w:rsid w:val="00833E0B"/>
    <w:rsid w:val="00870D44"/>
    <w:rsid w:val="008F36A2"/>
    <w:rsid w:val="00913F8B"/>
    <w:rsid w:val="00931AFD"/>
    <w:rsid w:val="009B339B"/>
    <w:rsid w:val="009B49B5"/>
    <w:rsid w:val="00A245D1"/>
    <w:rsid w:val="00B56CCC"/>
    <w:rsid w:val="00C51584"/>
    <w:rsid w:val="00C56371"/>
    <w:rsid w:val="00CA6FA6"/>
    <w:rsid w:val="00CB2A36"/>
    <w:rsid w:val="00CD21B5"/>
    <w:rsid w:val="00CE118F"/>
    <w:rsid w:val="00D0107E"/>
    <w:rsid w:val="00D15C30"/>
    <w:rsid w:val="00D42A47"/>
    <w:rsid w:val="00D92FC9"/>
    <w:rsid w:val="00D93F9A"/>
    <w:rsid w:val="00E04D0A"/>
    <w:rsid w:val="00E14208"/>
    <w:rsid w:val="00E4110F"/>
    <w:rsid w:val="00E449CF"/>
    <w:rsid w:val="00E53C90"/>
    <w:rsid w:val="00E70261"/>
    <w:rsid w:val="00E84085"/>
    <w:rsid w:val="00E91E13"/>
    <w:rsid w:val="00EA420F"/>
    <w:rsid w:val="00EE76F5"/>
    <w:rsid w:val="00EF205A"/>
    <w:rsid w:val="00F033F1"/>
    <w:rsid w:val="00F33965"/>
    <w:rsid w:val="00F44F46"/>
    <w:rsid w:val="00F67707"/>
    <w:rsid w:val="00FA3FB2"/>
    <w:rsid w:val="00FA66DA"/>
    <w:rsid w:val="00FC72FD"/>
    <w:rsid w:val="00FE14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AB11E"/>
  <w15:chartTrackingRefBased/>
  <w15:docId w15:val="{C68D900B-0EC4-2E45-A579-8230F1F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ка (темная)"/>
    <w:rsid w:val="00EE76F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Light" w:eastAsia="Helvetica Light" w:hAnsi="Helvetica Light" w:cs="Helvetica Light"/>
      <w:color w:val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56CC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515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5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6952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9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5-28-010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5-28-010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Nauch SV</cp:lastModifiedBy>
  <cp:revision>23</cp:revision>
  <dcterms:created xsi:type="dcterms:W3CDTF">2024-12-02T08:17:00Z</dcterms:created>
  <dcterms:modified xsi:type="dcterms:W3CDTF">2025-11-18T11:41:00Z</dcterms:modified>
</cp:coreProperties>
</file>