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CB00" w14:textId="468E303F" w:rsidR="00F07962" w:rsidRPr="00F07962" w:rsidRDefault="00F07962" w:rsidP="00F07962">
      <w:pPr>
        <w:spacing w:after="0"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F07962">
        <w:rPr>
          <w:rFonts w:asciiTheme="majorBidi" w:hAnsiTheme="majorBidi" w:cstheme="majorBidi"/>
          <w:sz w:val="24"/>
          <w:szCs w:val="24"/>
        </w:rPr>
        <w:t>Проф. д-р Элизабет Майльхаммер</w:t>
      </w:r>
    </w:p>
    <w:p w14:paraId="37C309AF" w14:textId="77777777" w:rsidR="00F07962" w:rsidRPr="00F07962" w:rsidRDefault="00F07962" w:rsidP="00F0796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618E88F" w14:textId="5F247FF5" w:rsidR="00F07962" w:rsidRPr="00F07962" w:rsidRDefault="00F07962" w:rsidP="00F0796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7962">
        <w:rPr>
          <w:rFonts w:asciiTheme="majorBidi" w:hAnsiTheme="majorBidi" w:cstheme="majorBidi"/>
          <w:sz w:val="24"/>
          <w:szCs w:val="24"/>
        </w:rPr>
        <w:t>Рецензия на диссертацию по соисканию научной степени доктора богословия</w:t>
      </w:r>
    </w:p>
    <w:p w14:paraId="549E6E38" w14:textId="77777777" w:rsidR="00F07962" w:rsidRPr="00F07962" w:rsidRDefault="00F07962" w:rsidP="00F0796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7962">
        <w:rPr>
          <w:rFonts w:asciiTheme="majorBidi" w:hAnsiTheme="majorBidi" w:cstheme="majorBidi"/>
          <w:sz w:val="24"/>
          <w:szCs w:val="24"/>
        </w:rPr>
        <w:t>«Развитие христианской антропологии в греческой и латинской патристике II–V вв.»</w:t>
      </w:r>
    </w:p>
    <w:p w14:paraId="5CF743FE" w14:textId="77777777" w:rsidR="00F07962" w:rsidRPr="00F07962" w:rsidRDefault="00F07962" w:rsidP="00F0796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7962">
        <w:rPr>
          <w:rFonts w:asciiTheme="majorBidi" w:hAnsiTheme="majorBidi" w:cstheme="majorBidi"/>
          <w:sz w:val="24"/>
          <w:szCs w:val="24"/>
        </w:rPr>
        <w:t>Андрея Владиленовича Данилова</w:t>
      </w:r>
    </w:p>
    <w:p w14:paraId="14F84576" w14:textId="77777777" w:rsidR="00F07962" w:rsidRPr="00F07962" w:rsidRDefault="00F07962" w:rsidP="00F07962">
      <w:pPr>
        <w:spacing w:after="0" w:line="360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</w:p>
    <w:p w14:paraId="138D7FB6" w14:textId="77777777" w:rsidR="00F07962" w:rsidRPr="00F07962" w:rsidRDefault="00F07962" w:rsidP="00F07962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F07962">
        <w:rPr>
          <w:rFonts w:asciiTheme="majorBidi" w:hAnsiTheme="majorBidi" w:cstheme="majorBidi"/>
          <w:sz w:val="24"/>
          <w:szCs w:val="24"/>
        </w:rPr>
        <w:t>Нет педагогики без педагогической антропологии, которая вопрошает об эмпирических и нормативных предпосылках образования, иными словами, предпосылках приведения человека к истинной человечности. Исследование развития христианской антропологии в первые пять веков христианства, которое г-н Данилов предпринял в своей диссертации, является по своей полноте, обстоятельности, достоверности истинной сокровищницей знаний для педагогической антропологии.</w:t>
      </w:r>
    </w:p>
    <w:p w14:paraId="3669134D" w14:textId="77777777" w:rsidR="00F07962" w:rsidRPr="00F07962" w:rsidRDefault="00F07962" w:rsidP="00F07962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F07962">
        <w:rPr>
          <w:rFonts w:asciiTheme="majorBidi" w:hAnsiTheme="majorBidi" w:cstheme="majorBidi"/>
          <w:sz w:val="24"/>
          <w:szCs w:val="24"/>
        </w:rPr>
        <w:t>Выделю один момент: образ Божий в человеке. Он задает цель, на которую направлено образование человека; ибо от придаваемого человеку образа Божия неотделима перспектива человека как незавершенного творения, которым человек является особенно на первом этапе жизни, будучи ребенком, но также постоянно остается в зрелом возрасте и даже до конца своей жизни. Что в религиозном языке является (</w:t>
      </w:r>
      <w:r w:rsidRPr="00F07962">
        <w:rPr>
          <w:rFonts w:asciiTheme="majorBidi" w:hAnsiTheme="majorBidi" w:cstheme="majorBidi"/>
          <w:sz w:val="24"/>
          <w:szCs w:val="24"/>
          <w:lang w:val="de-DE"/>
        </w:rPr>
        <w:t>a</w:t>
      </w:r>
      <w:r w:rsidRPr="00F07962">
        <w:rPr>
          <w:rFonts w:asciiTheme="majorBidi" w:hAnsiTheme="majorBidi" w:cstheme="majorBidi"/>
          <w:sz w:val="24"/>
          <w:szCs w:val="24"/>
        </w:rPr>
        <w:t>) образом Божьим и (</w:t>
      </w:r>
      <w:r w:rsidRPr="00F07962">
        <w:rPr>
          <w:rFonts w:asciiTheme="majorBidi" w:hAnsiTheme="majorBidi" w:cstheme="majorBidi"/>
          <w:sz w:val="24"/>
          <w:szCs w:val="24"/>
          <w:lang w:val="de-DE"/>
        </w:rPr>
        <w:t>b</w:t>
      </w:r>
      <w:r w:rsidRPr="00F07962">
        <w:rPr>
          <w:rFonts w:asciiTheme="majorBidi" w:hAnsiTheme="majorBidi" w:cstheme="majorBidi"/>
          <w:sz w:val="24"/>
          <w:szCs w:val="24"/>
        </w:rPr>
        <w:t>) неполнотой человека как сотворенного создания, является, более нейтрально выражаясь, (</w:t>
      </w:r>
      <w:r w:rsidRPr="00F07962">
        <w:rPr>
          <w:rFonts w:asciiTheme="majorBidi" w:hAnsiTheme="majorBidi" w:cstheme="majorBidi"/>
          <w:sz w:val="24"/>
          <w:szCs w:val="24"/>
          <w:lang w:val="de-DE"/>
        </w:rPr>
        <w:t>a</w:t>
      </w:r>
      <w:r w:rsidRPr="00F07962">
        <w:rPr>
          <w:rFonts w:asciiTheme="majorBidi" w:hAnsiTheme="majorBidi" w:cstheme="majorBidi"/>
          <w:sz w:val="24"/>
          <w:szCs w:val="24"/>
        </w:rPr>
        <w:t>') его свободной волей и его способностью к ответственности, которые могут быть сформированы (</w:t>
      </w:r>
      <w:r w:rsidRPr="00F07962">
        <w:rPr>
          <w:rFonts w:asciiTheme="majorBidi" w:hAnsiTheme="majorBidi" w:cstheme="majorBidi"/>
          <w:sz w:val="24"/>
          <w:szCs w:val="24"/>
          <w:lang w:val="de-DE"/>
        </w:rPr>
        <w:t>b</w:t>
      </w:r>
      <w:r w:rsidRPr="00F07962">
        <w:rPr>
          <w:rFonts w:asciiTheme="majorBidi" w:hAnsiTheme="majorBidi" w:cstheme="majorBidi"/>
          <w:sz w:val="24"/>
          <w:szCs w:val="24"/>
        </w:rPr>
        <w:t>') в самых разных направлениях — в сторону добра и в сторону зла. Этот педагогически значимый антропологический вопрос трактуется в святоотеческой антропологии и представлен г-ном Даниловым (особенно в главах 5 и 6 второй части его диссертации). Человек амбивалентен и как нечто амбивалентное представляет собой риск — не только риск, на который он сам идет и должен идти (как обреченный на свободу), но он — теперь выражаясь снова религиозным языком — риск и для своего Творца: для Бога.</w:t>
      </w:r>
    </w:p>
    <w:p w14:paraId="781654ED" w14:textId="77777777" w:rsidR="00F07962" w:rsidRPr="00F07962" w:rsidRDefault="00F07962" w:rsidP="00F07962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F07962">
        <w:rPr>
          <w:rFonts w:asciiTheme="majorBidi" w:hAnsiTheme="majorBidi" w:cstheme="majorBidi"/>
          <w:sz w:val="24"/>
          <w:szCs w:val="24"/>
        </w:rPr>
        <w:t>Таким образом, в святоотеческой антропологии намечена схема основной педагогической констелляции. Есть человек, который должен быть сформирован (образован, воспитан) к чему-то благому; к чему-то благому, чем он может быть, а не просто в смысле искусственной возможности; он также должен самотрансцендироваться: быть свободным таким образом, чтобы через него свободно реализовывалось благо. (Религиозно говоря, а также содержательно на более высоком уровне: его основополагающий образ Божий должен дополняться совершенным образом Божиим — обожением, как говорят православные). Социальные педагоги нередко терпят неудачу в этой задаче, даже если религиозное начало присутствует в какой-то степени. Патристическая антропология и всякая позднейшая христианская антропология, напротив, знает о сверхъестественной благодати Божией в стяжании совершенства.</w:t>
      </w:r>
    </w:p>
    <w:p w14:paraId="0BC4EDC7" w14:textId="77777777" w:rsidR="00F07962" w:rsidRPr="00F07962" w:rsidRDefault="00F07962" w:rsidP="00F07962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F07962">
        <w:rPr>
          <w:rFonts w:asciiTheme="majorBidi" w:hAnsiTheme="majorBidi" w:cstheme="majorBidi"/>
          <w:sz w:val="24"/>
          <w:szCs w:val="24"/>
        </w:rPr>
        <w:lastRenderedPageBreak/>
        <w:t>На основании этой диссертации, которая меня не только весьма заинтересовала, но и произвела на меня весьма положительное впечатление (восхищаюсь огромным объемом работы, которая стоит за ней), я без оговорок рекомендую г-на Андрея Владиленовича Данилова к докторской защите по специальности богословие.</w:t>
      </w:r>
    </w:p>
    <w:p w14:paraId="1CE2B181" w14:textId="77777777" w:rsidR="00F07962" w:rsidRPr="00F07962" w:rsidRDefault="00F07962" w:rsidP="00F07962">
      <w:pPr>
        <w:spacing w:after="488"/>
        <w:ind w:left="23"/>
        <w:rPr>
          <w:rFonts w:asciiTheme="majorBidi" w:hAnsiTheme="majorBidi" w:cstheme="majorBidi"/>
          <w:sz w:val="24"/>
          <w:szCs w:val="24"/>
        </w:rPr>
      </w:pPr>
    </w:p>
    <w:p w14:paraId="7E0D931D" w14:textId="0CD6468F" w:rsidR="001F541F" w:rsidRPr="001F541F" w:rsidRDefault="00F07962" w:rsidP="001F541F">
      <w:pPr>
        <w:ind w:left="23"/>
        <w:rPr>
          <w:rFonts w:asciiTheme="majorBidi" w:hAnsiTheme="majorBidi" w:cstheme="majorBidi"/>
          <w:sz w:val="24"/>
          <w:szCs w:val="24"/>
        </w:rPr>
      </w:pPr>
      <w:r w:rsidRPr="00F07962">
        <w:rPr>
          <w:rFonts w:asciiTheme="majorBidi" w:hAnsiTheme="majorBidi" w:cstheme="majorBidi"/>
          <w:sz w:val="24"/>
          <w:szCs w:val="24"/>
        </w:rPr>
        <w:t>Проф. д-р Элизабет Майльхаммер</w:t>
      </w:r>
      <w:r w:rsidR="001F541F">
        <w:rPr>
          <w:rFonts w:asciiTheme="majorBidi" w:hAnsiTheme="majorBidi" w:cstheme="majorBidi"/>
          <w:sz w:val="24"/>
          <w:szCs w:val="24"/>
        </w:rPr>
        <w:t>,</w:t>
      </w:r>
      <w:r w:rsidR="001F541F" w:rsidRPr="001F541F">
        <w:rPr>
          <w:rFonts w:asciiTheme="majorBidi" w:hAnsiTheme="majorBidi" w:cstheme="majorBidi"/>
          <w:sz w:val="24"/>
          <w:szCs w:val="24"/>
        </w:rPr>
        <w:t xml:space="preserve"> </w:t>
      </w:r>
      <w:r w:rsidR="001F541F">
        <w:rPr>
          <w:rFonts w:asciiTheme="majorBidi" w:hAnsiTheme="majorBidi" w:cstheme="majorBidi"/>
          <w:sz w:val="24"/>
          <w:szCs w:val="24"/>
        </w:rPr>
        <w:t>п</w:t>
      </w:r>
      <w:r w:rsidR="001F541F" w:rsidRPr="00F07962">
        <w:rPr>
          <w:rFonts w:asciiTheme="majorBidi" w:hAnsiTheme="majorBidi" w:cstheme="majorBidi"/>
          <w:sz w:val="24"/>
          <w:szCs w:val="24"/>
        </w:rPr>
        <w:t>рофессор</w:t>
      </w:r>
      <w:r w:rsidR="001F541F" w:rsidRPr="001F541F">
        <w:rPr>
          <w:rFonts w:asciiTheme="majorBidi" w:hAnsiTheme="majorBidi" w:cstheme="majorBidi"/>
          <w:sz w:val="24"/>
          <w:szCs w:val="24"/>
        </w:rPr>
        <w:t xml:space="preserve">, </w:t>
      </w:r>
      <w:r w:rsidR="001F541F" w:rsidRPr="00F07962">
        <w:rPr>
          <w:rFonts w:asciiTheme="majorBidi" w:hAnsiTheme="majorBidi" w:cstheme="majorBidi"/>
          <w:sz w:val="24"/>
          <w:szCs w:val="24"/>
        </w:rPr>
        <w:t>заведующая</w:t>
      </w:r>
      <w:r w:rsidR="001F541F" w:rsidRPr="001F541F">
        <w:rPr>
          <w:rFonts w:asciiTheme="majorBidi" w:hAnsiTheme="majorBidi" w:cstheme="majorBidi"/>
          <w:sz w:val="24"/>
          <w:szCs w:val="24"/>
        </w:rPr>
        <w:t xml:space="preserve"> </w:t>
      </w:r>
      <w:r w:rsidR="001F541F" w:rsidRPr="00F07962">
        <w:rPr>
          <w:rFonts w:asciiTheme="majorBidi" w:hAnsiTheme="majorBidi" w:cstheme="majorBidi"/>
          <w:sz w:val="24"/>
          <w:szCs w:val="24"/>
        </w:rPr>
        <w:t>кафедрой</w:t>
      </w:r>
      <w:r w:rsidR="001F541F" w:rsidRPr="001F541F">
        <w:rPr>
          <w:rFonts w:asciiTheme="majorBidi" w:hAnsiTheme="majorBidi" w:cstheme="majorBidi"/>
          <w:sz w:val="24"/>
          <w:szCs w:val="24"/>
        </w:rPr>
        <w:t xml:space="preserve"> </w:t>
      </w:r>
      <w:r w:rsidR="001F541F" w:rsidRPr="00F07962">
        <w:rPr>
          <w:rFonts w:asciiTheme="majorBidi" w:hAnsiTheme="majorBidi" w:cstheme="majorBidi"/>
          <w:sz w:val="24"/>
          <w:szCs w:val="24"/>
        </w:rPr>
        <w:t>педагогики</w:t>
      </w:r>
      <w:r w:rsidR="001F541F">
        <w:rPr>
          <w:rFonts w:asciiTheme="majorBidi" w:hAnsiTheme="majorBidi" w:cstheme="majorBidi"/>
          <w:sz w:val="24"/>
          <w:szCs w:val="24"/>
        </w:rPr>
        <w:t xml:space="preserve"> Аугсбургского университета</w:t>
      </w:r>
    </w:p>
    <w:p w14:paraId="21D37C57" w14:textId="77777777" w:rsidR="001F541F" w:rsidRPr="001F541F" w:rsidRDefault="001F541F" w:rsidP="00F07962">
      <w:pPr>
        <w:tabs>
          <w:tab w:val="right" w:pos="9760"/>
        </w:tabs>
        <w:jc w:val="left"/>
        <w:rPr>
          <w:rFonts w:asciiTheme="majorBidi" w:hAnsiTheme="majorBidi" w:cstheme="majorBidi"/>
          <w:sz w:val="24"/>
          <w:szCs w:val="24"/>
        </w:rPr>
      </w:pPr>
    </w:p>
    <w:p w14:paraId="51B90F37" w14:textId="3DDB5187" w:rsidR="00F07962" w:rsidRPr="00F07962" w:rsidRDefault="00F07962" w:rsidP="00F07962">
      <w:pPr>
        <w:tabs>
          <w:tab w:val="right" w:pos="9760"/>
        </w:tabs>
        <w:jc w:val="left"/>
        <w:rPr>
          <w:rFonts w:asciiTheme="majorBidi" w:hAnsiTheme="majorBidi" w:cstheme="majorBidi"/>
          <w:sz w:val="24"/>
          <w:szCs w:val="24"/>
        </w:rPr>
      </w:pPr>
      <w:r w:rsidRPr="00F07962">
        <w:rPr>
          <w:rFonts w:asciiTheme="majorBidi" w:hAnsiTheme="majorBidi" w:cstheme="majorBidi"/>
          <w:sz w:val="24"/>
          <w:szCs w:val="24"/>
          <w:lang w:val="de-DE"/>
        </w:rPr>
        <w:t>Prof</w:t>
      </w:r>
      <w:r w:rsidRPr="00F07962">
        <w:rPr>
          <w:rFonts w:asciiTheme="majorBidi" w:hAnsiTheme="majorBidi" w:cstheme="majorBidi"/>
          <w:sz w:val="24"/>
          <w:szCs w:val="24"/>
        </w:rPr>
        <w:t xml:space="preserve">. </w:t>
      </w:r>
      <w:r w:rsidRPr="00F07962">
        <w:rPr>
          <w:rFonts w:asciiTheme="majorBidi" w:hAnsiTheme="majorBidi" w:cstheme="majorBidi"/>
          <w:sz w:val="24"/>
          <w:szCs w:val="24"/>
          <w:lang w:val="de-DE"/>
        </w:rPr>
        <w:t>Dr</w:t>
      </w:r>
      <w:r w:rsidRPr="00F07962">
        <w:rPr>
          <w:rFonts w:asciiTheme="majorBidi" w:hAnsiTheme="majorBidi" w:cstheme="majorBidi"/>
          <w:sz w:val="24"/>
          <w:szCs w:val="24"/>
        </w:rPr>
        <w:t xml:space="preserve">. </w:t>
      </w:r>
      <w:r w:rsidRPr="00F07962">
        <w:rPr>
          <w:rFonts w:asciiTheme="majorBidi" w:hAnsiTheme="majorBidi" w:cstheme="majorBidi"/>
          <w:sz w:val="24"/>
          <w:szCs w:val="24"/>
          <w:lang w:val="de-DE"/>
        </w:rPr>
        <w:t>Elisabeth</w:t>
      </w:r>
      <w:r w:rsidRPr="00F07962">
        <w:rPr>
          <w:rFonts w:asciiTheme="majorBidi" w:hAnsiTheme="majorBidi" w:cstheme="majorBidi"/>
          <w:sz w:val="24"/>
          <w:szCs w:val="24"/>
        </w:rPr>
        <w:t xml:space="preserve"> </w:t>
      </w:r>
      <w:r w:rsidRPr="00F07962">
        <w:rPr>
          <w:rFonts w:asciiTheme="majorBidi" w:hAnsiTheme="majorBidi" w:cstheme="majorBidi"/>
          <w:sz w:val="24"/>
          <w:szCs w:val="24"/>
          <w:lang w:val="de-DE"/>
        </w:rPr>
        <w:t>Meilhammer</w:t>
      </w:r>
      <w:r w:rsidRPr="00F07962">
        <w:rPr>
          <w:rFonts w:asciiTheme="majorBidi" w:hAnsiTheme="majorBidi" w:cstheme="majorBidi"/>
          <w:sz w:val="24"/>
          <w:szCs w:val="24"/>
        </w:rPr>
        <w:tab/>
      </w:r>
    </w:p>
    <w:p w14:paraId="0F6B82C8" w14:textId="77777777" w:rsidR="00F07962" w:rsidRPr="00F07962" w:rsidRDefault="00F07962" w:rsidP="00F07962">
      <w:pPr>
        <w:ind w:left="23"/>
        <w:rPr>
          <w:rFonts w:asciiTheme="majorBidi" w:hAnsiTheme="majorBidi" w:cstheme="majorBidi"/>
          <w:sz w:val="24"/>
          <w:szCs w:val="24"/>
          <w:lang w:val="de-DE"/>
        </w:rPr>
      </w:pPr>
      <w:r w:rsidRPr="00F07962">
        <w:rPr>
          <w:rFonts w:asciiTheme="majorBidi" w:hAnsiTheme="majorBidi" w:cstheme="majorBidi"/>
          <w:sz w:val="24"/>
          <w:szCs w:val="24"/>
          <w:lang w:val="de-DE"/>
        </w:rPr>
        <w:t>Lehrstuhl für Pädagogik mit Schwerpunkt Erwachsenen- und Weiterbildung</w:t>
      </w:r>
    </w:p>
    <w:p w14:paraId="2A84F3FF" w14:textId="77777777" w:rsidR="00F07962" w:rsidRPr="00F07962" w:rsidRDefault="00F07962" w:rsidP="00F07962">
      <w:pPr>
        <w:ind w:left="23"/>
        <w:rPr>
          <w:rFonts w:asciiTheme="majorBidi" w:hAnsiTheme="majorBidi" w:cstheme="majorBidi"/>
          <w:sz w:val="24"/>
          <w:szCs w:val="24"/>
          <w:lang w:val="de-DE"/>
        </w:rPr>
      </w:pPr>
      <w:r w:rsidRPr="00F07962">
        <w:rPr>
          <w:rFonts w:asciiTheme="majorBidi" w:hAnsiTheme="majorBidi" w:cstheme="majorBidi"/>
          <w:sz w:val="24"/>
          <w:szCs w:val="24"/>
          <w:lang w:val="de-DE"/>
        </w:rPr>
        <w:t>Universität Augsburg</w:t>
      </w:r>
    </w:p>
    <w:p w14:paraId="49914019" w14:textId="77777777" w:rsidR="00F07962" w:rsidRPr="00F07962" w:rsidRDefault="00F07962" w:rsidP="00F07962">
      <w:pPr>
        <w:ind w:left="23"/>
        <w:rPr>
          <w:rFonts w:asciiTheme="majorBidi" w:hAnsiTheme="majorBidi" w:cstheme="majorBidi"/>
          <w:sz w:val="24"/>
          <w:szCs w:val="24"/>
          <w:lang w:val="de-DE"/>
        </w:rPr>
      </w:pPr>
      <w:r w:rsidRPr="00F07962">
        <w:rPr>
          <w:rFonts w:asciiTheme="majorBidi" w:hAnsiTheme="majorBidi" w:cstheme="majorBidi"/>
          <w:sz w:val="24"/>
          <w:szCs w:val="24"/>
          <w:lang w:val="de-DE"/>
        </w:rPr>
        <w:t>Universitätsstr. 10</w:t>
      </w:r>
    </w:p>
    <w:p w14:paraId="6454DD57" w14:textId="77777777" w:rsidR="00F07962" w:rsidRPr="00F07962" w:rsidRDefault="00F07962" w:rsidP="00F07962">
      <w:pPr>
        <w:ind w:left="23"/>
        <w:rPr>
          <w:rFonts w:asciiTheme="majorBidi" w:hAnsiTheme="majorBidi" w:cstheme="majorBidi"/>
          <w:sz w:val="24"/>
          <w:szCs w:val="24"/>
          <w:lang w:val="de-DE"/>
        </w:rPr>
      </w:pPr>
      <w:r w:rsidRPr="00F07962">
        <w:rPr>
          <w:rFonts w:asciiTheme="majorBidi" w:hAnsiTheme="majorBidi" w:cstheme="majorBidi"/>
          <w:sz w:val="24"/>
          <w:szCs w:val="24"/>
          <w:lang w:val="de-DE"/>
        </w:rPr>
        <w:t>86159 Augsburg</w:t>
      </w:r>
    </w:p>
    <w:p w14:paraId="26BC3FC7" w14:textId="77777777" w:rsidR="00F07962" w:rsidRPr="00F07962" w:rsidRDefault="00F07962" w:rsidP="00F07962">
      <w:pPr>
        <w:ind w:left="23"/>
        <w:rPr>
          <w:rFonts w:asciiTheme="majorBidi" w:hAnsiTheme="majorBidi" w:cstheme="majorBidi"/>
          <w:sz w:val="24"/>
          <w:szCs w:val="24"/>
          <w:lang w:val="de-DE"/>
        </w:rPr>
      </w:pPr>
      <w:r w:rsidRPr="00F07962">
        <w:rPr>
          <w:rFonts w:asciiTheme="majorBidi" w:hAnsiTheme="majorBidi" w:cstheme="majorBidi"/>
          <w:sz w:val="24"/>
          <w:szCs w:val="24"/>
          <w:lang w:val="de-DE"/>
        </w:rPr>
        <w:t>Deutschland</w:t>
      </w:r>
    </w:p>
    <w:p w14:paraId="1EE781B9" w14:textId="77777777" w:rsidR="00F07962" w:rsidRPr="00F07962" w:rsidRDefault="00F07962" w:rsidP="00F07962">
      <w:pPr>
        <w:ind w:left="23"/>
        <w:rPr>
          <w:rFonts w:asciiTheme="majorBidi" w:hAnsiTheme="majorBidi" w:cstheme="majorBidi"/>
          <w:sz w:val="24"/>
          <w:szCs w:val="24"/>
          <w:lang w:val="de-DE"/>
        </w:rPr>
      </w:pPr>
      <w:r w:rsidRPr="00F07962">
        <w:rPr>
          <w:rFonts w:asciiTheme="majorBidi" w:hAnsiTheme="majorBidi" w:cstheme="majorBidi"/>
          <w:sz w:val="24"/>
          <w:szCs w:val="24"/>
          <w:lang w:val="de-DE"/>
        </w:rPr>
        <w:t>Tel.: 49-821-598-4112</w:t>
      </w:r>
    </w:p>
    <w:p w14:paraId="03433D4A" w14:textId="6771FE23" w:rsidR="00303040" w:rsidRPr="00F07962" w:rsidRDefault="00F07962" w:rsidP="00F07962">
      <w:pPr>
        <w:pStyle w:val="1"/>
        <w:rPr>
          <w:rFonts w:asciiTheme="majorBidi" w:hAnsiTheme="majorBidi" w:cstheme="majorBidi"/>
          <w:sz w:val="24"/>
          <w:szCs w:val="24"/>
          <w:lang w:val="it-IT"/>
        </w:rPr>
      </w:pPr>
      <w:r w:rsidRPr="00F07962">
        <w:rPr>
          <w:rFonts w:asciiTheme="majorBidi" w:hAnsiTheme="majorBidi" w:cstheme="majorBidi"/>
          <w:sz w:val="24"/>
          <w:szCs w:val="24"/>
          <w:u w:val="none"/>
          <w:lang w:val="it-IT"/>
        </w:rPr>
        <w:t xml:space="preserve">E-Mail: </w:t>
      </w:r>
      <w:r w:rsidRPr="00F07962">
        <w:rPr>
          <w:rFonts w:asciiTheme="majorBidi" w:hAnsiTheme="majorBidi" w:cstheme="majorBidi"/>
          <w:sz w:val="24"/>
          <w:szCs w:val="24"/>
          <w:lang w:val="it-IT"/>
        </w:rPr>
        <w:t>elisabeth.meilhammer@phil.uni-augsburg.de</w:t>
      </w:r>
    </w:p>
    <w:sectPr w:rsidR="00303040" w:rsidRPr="00F07962" w:rsidSect="00F07962">
      <w:pgSz w:w="11900" w:h="16840"/>
      <w:pgMar w:top="1013" w:right="797" w:bottom="490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62"/>
    <w:rsid w:val="001F541F"/>
    <w:rsid w:val="00303040"/>
    <w:rsid w:val="00F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AE41"/>
  <w15:chartTrackingRefBased/>
  <w15:docId w15:val="{CE5F60FF-5FFD-4F71-8600-2403019F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62"/>
    <w:pPr>
      <w:spacing w:after="15" w:line="250" w:lineRule="auto"/>
      <w:jc w:val="both"/>
    </w:pPr>
    <w:rPr>
      <w:rFonts w:ascii="Calibri" w:eastAsia="Calibri" w:hAnsi="Calibri" w:cs="Calibri"/>
      <w:color w:val="000000"/>
      <w:sz w:val="26"/>
      <w:szCs w:val="22"/>
      <w:lang w:eastAsia="ru-RU"/>
    </w:rPr>
  </w:style>
  <w:style w:type="paragraph" w:styleId="1">
    <w:name w:val="heading 1"/>
    <w:next w:val="a"/>
    <w:link w:val="10"/>
    <w:uiPriority w:val="9"/>
    <w:qFormat/>
    <w:rsid w:val="00F07962"/>
    <w:pPr>
      <w:keepNext/>
      <w:keepLines/>
      <w:spacing w:after="1616"/>
      <w:ind w:left="10"/>
      <w:outlineLvl w:val="0"/>
    </w:pPr>
    <w:rPr>
      <w:rFonts w:ascii="Calibri" w:eastAsia="Calibri" w:hAnsi="Calibri" w:cs="Calibri"/>
      <w:color w:val="000000"/>
      <w:sz w:val="26"/>
      <w:szCs w:val="22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962"/>
    <w:rPr>
      <w:rFonts w:ascii="Calibri" w:eastAsia="Calibri" w:hAnsi="Calibri" w:cs="Calibri"/>
      <w:color w:val="000000"/>
      <w:sz w:val="26"/>
      <w:szCs w:val="22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Andrei</dc:creator>
  <cp:keywords/>
  <dc:description/>
  <cp:lastModifiedBy>Danilov Andrei</cp:lastModifiedBy>
  <cp:revision>2</cp:revision>
  <dcterms:created xsi:type="dcterms:W3CDTF">2022-06-24T03:50:00Z</dcterms:created>
  <dcterms:modified xsi:type="dcterms:W3CDTF">2022-06-24T03:57:00Z</dcterms:modified>
</cp:coreProperties>
</file>