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70" w:rsidRPr="00B80AF8" w:rsidRDefault="00885370" w:rsidP="00885370">
      <w:pPr>
        <w:rPr>
          <w:rFonts w:ascii="Times New Roman" w:hAnsi="Times New Roman" w:cs="Times New Roman"/>
          <w:b/>
          <w:sz w:val="24"/>
          <w:szCs w:val="24"/>
        </w:rPr>
      </w:pPr>
      <w:r w:rsidRPr="00B80AF8">
        <w:rPr>
          <w:rFonts w:ascii="Times New Roman" w:hAnsi="Times New Roman" w:cs="Times New Roman"/>
          <w:b/>
          <w:sz w:val="24"/>
          <w:szCs w:val="24"/>
        </w:rPr>
        <w:t>Список публикаций:</w:t>
      </w:r>
    </w:p>
    <w:p w:rsidR="00885370" w:rsidRPr="00B80AF8" w:rsidRDefault="00885370" w:rsidP="008853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Особенности синтаксиса библейской поэзии//Богословский сборник.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 12. М.:ПСТБИ, 2003. С. 64-70.</w:t>
      </w:r>
    </w:p>
    <w:p w:rsidR="00885370" w:rsidRPr="00B80AF8" w:rsidRDefault="00885370" w:rsidP="008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70" w:rsidRPr="00B80AF8" w:rsidRDefault="00885370" w:rsidP="008853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Святоотеческая экзегеза на слова евангелиста Матфея 2:23. ЖМП. №3, 2005. С. 66-70.</w:t>
      </w:r>
    </w:p>
    <w:p w:rsidR="00885370" w:rsidRPr="00B80AF8" w:rsidRDefault="00885370" w:rsidP="008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70" w:rsidRPr="00B80AF8" w:rsidRDefault="00885370" w:rsidP="008853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Мессианская идея в иудейской письменности в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межзаветный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 период// Материалы 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80AF8">
        <w:rPr>
          <w:rFonts w:ascii="Times New Roman" w:hAnsi="Times New Roman" w:cs="Times New Roman"/>
          <w:sz w:val="24"/>
          <w:szCs w:val="24"/>
        </w:rPr>
        <w:t xml:space="preserve"> Ежегодной Богословской конференции ПСТГУ. Т. </w:t>
      </w:r>
      <w:smartTag w:uri="urn:schemas-microsoft-com:office:smarttags" w:element="metricconverter">
        <w:smartTagPr>
          <w:attr w:name="ProductID" w:val="1. М"/>
        </w:smartTagPr>
        <w:r w:rsidRPr="00B80AF8">
          <w:rPr>
            <w:rFonts w:ascii="Times New Roman" w:hAnsi="Times New Roman" w:cs="Times New Roman"/>
            <w:sz w:val="24"/>
            <w:szCs w:val="24"/>
          </w:rPr>
          <w:t>1. М</w:t>
        </w:r>
      </w:smartTag>
      <w:r w:rsidRPr="00B80AF8">
        <w:rPr>
          <w:rFonts w:ascii="Times New Roman" w:hAnsi="Times New Roman" w:cs="Times New Roman"/>
          <w:sz w:val="24"/>
          <w:szCs w:val="24"/>
        </w:rPr>
        <w:t>., 2005. С. 58-63.</w:t>
      </w:r>
    </w:p>
    <w:p w:rsidR="00885370" w:rsidRPr="00B80AF8" w:rsidRDefault="00885370" w:rsidP="008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70" w:rsidRPr="00B80AF8" w:rsidRDefault="00885370" w:rsidP="008853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Эсхатологическое учение иудеев согласно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таргумам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// Материалы 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80AF8">
        <w:rPr>
          <w:rFonts w:ascii="Times New Roman" w:hAnsi="Times New Roman" w:cs="Times New Roman"/>
          <w:sz w:val="24"/>
          <w:szCs w:val="24"/>
        </w:rPr>
        <w:t xml:space="preserve"> Ежегодной Богословской конференции ПСТГУ. М., 2006. С. 21-25.</w:t>
      </w:r>
    </w:p>
    <w:p w:rsidR="00885370" w:rsidRPr="00B80AF8" w:rsidRDefault="00885370" w:rsidP="008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70" w:rsidRPr="00B80AF8" w:rsidRDefault="00885370" w:rsidP="008853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Проблема интерпретации пророчества патриарха Иакова Быт. 49:10// Материалы 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80AF8">
        <w:rPr>
          <w:rFonts w:ascii="Times New Roman" w:hAnsi="Times New Roman" w:cs="Times New Roman"/>
          <w:sz w:val="24"/>
          <w:szCs w:val="24"/>
        </w:rPr>
        <w:t xml:space="preserve"> Ежегодной Богословской конференции ПСТГУ. М., 2007. С. 30-41.</w:t>
      </w:r>
    </w:p>
    <w:p w:rsidR="00885370" w:rsidRPr="00B80AF8" w:rsidRDefault="00885370" w:rsidP="008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70" w:rsidRPr="00B80AF8" w:rsidRDefault="00885370" w:rsidP="008853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Святитель Филарет как экзегет Священного Писания//Филаретовский альманах. М.: ПСТГУ, 2007. №3. С. 24-32.</w:t>
      </w:r>
    </w:p>
    <w:p w:rsidR="00885370" w:rsidRPr="00B80AF8" w:rsidRDefault="00885370" w:rsidP="008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70" w:rsidRPr="00B80AF8" w:rsidRDefault="00885370" w:rsidP="008853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Значение слова «рог» в библейской метафоре. ЖМП. №4. 2008, С. 76-85.</w:t>
      </w:r>
    </w:p>
    <w:p w:rsidR="00885370" w:rsidRPr="00B80AF8" w:rsidRDefault="00885370" w:rsidP="008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70" w:rsidRPr="00B80AF8" w:rsidRDefault="00885370" w:rsidP="008853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Значение переводов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Акилы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Симмаха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Теодотиона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 для церковной экзегезы//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80AF8">
        <w:rPr>
          <w:rFonts w:ascii="Times New Roman" w:hAnsi="Times New Roman" w:cs="Times New Roman"/>
          <w:sz w:val="24"/>
          <w:szCs w:val="24"/>
        </w:rPr>
        <w:t xml:space="preserve"> Ежегодная богословская конференция ПСТГУ: Материалы. Т. </w:t>
      </w:r>
      <w:smartTag w:uri="urn:schemas-microsoft-com:office:smarttags" w:element="metricconverter">
        <w:smartTagPr>
          <w:attr w:name="ProductID" w:val="1, М"/>
        </w:smartTagPr>
        <w:r w:rsidRPr="00B80AF8">
          <w:rPr>
            <w:rFonts w:ascii="Times New Roman" w:hAnsi="Times New Roman" w:cs="Times New Roman"/>
            <w:sz w:val="24"/>
            <w:szCs w:val="24"/>
          </w:rPr>
          <w:t>1, М</w:t>
        </w:r>
      </w:smartTag>
      <w:r w:rsidRPr="00B80AF8">
        <w:rPr>
          <w:rFonts w:ascii="Times New Roman" w:hAnsi="Times New Roman" w:cs="Times New Roman"/>
          <w:sz w:val="24"/>
          <w:szCs w:val="24"/>
        </w:rPr>
        <w:t>., ПСТГУ, 2009. С. 170-175.</w:t>
      </w:r>
    </w:p>
    <w:p w:rsidR="00885370" w:rsidRPr="00B80AF8" w:rsidRDefault="00885370" w:rsidP="008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70" w:rsidRPr="00B80AF8" w:rsidRDefault="00885370" w:rsidP="0088537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Иеремии Плач// ПЭ. М., 2009. Т. 21. С. 253-258.</w:t>
      </w:r>
    </w:p>
    <w:p w:rsidR="00885370" w:rsidRPr="00B80AF8" w:rsidRDefault="00885370" w:rsidP="0088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10. Мотивы книги Екклесиаст в русской лирике начала ХХ века// Сретенский сборник. Выпуск </w:t>
      </w:r>
      <w:smartTag w:uri="urn:schemas-microsoft-com:office:smarttags" w:element="metricconverter">
        <w:smartTagPr>
          <w:attr w:name="ProductID" w:val="1, М"/>
        </w:smartTagPr>
        <w:r w:rsidRPr="00B80AF8">
          <w:rPr>
            <w:rFonts w:ascii="Times New Roman" w:hAnsi="Times New Roman" w:cs="Times New Roman"/>
            <w:sz w:val="24"/>
            <w:szCs w:val="24"/>
          </w:rPr>
          <w:t>1, М</w:t>
        </w:r>
      </w:smartTag>
      <w:r w:rsidRPr="00B80AF8">
        <w:rPr>
          <w:rFonts w:ascii="Times New Roman" w:hAnsi="Times New Roman" w:cs="Times New Roman"/>
          <w:sz w:val="24"/>
          <w:szCs w:val="24"/>
        </w:rPr>
        <w:t>., 2010. С. 454-469.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11. Иова книга// ПЭ. М., 2010. Т. 25, С. 322-332, в соавторстве с </w:t>
      </w:r>
      <w:proofErr w:type="spellStart"/>
      <w:r w:rsidRPr="00B80AF8">
        <w:rPr>
          <w:rFonts w:ascii="Times New Roman" w:hAnsi="Times New Roman" w:cs="Times New Roman"/>
          <w:i/>
          <w:sz w:val="24"/>
          <w:szCs w:val="24"/>
        </w:rPr>
        <w:t>диак</w:t>
      </w:r>
      <w:proofErr w:type="spellEnd"/>
      <w:r w:rsidRPr="00B80AF8">
        <w:rPr>
          <w:rFonts w:ascii="Times New Roman" w:hAnsi="Times New Roman" w:cs="Times New Roman"/>
          <w:i/>
          <w:sz w:val="24"/>
          <w:szCs w:val="24"/>
        </w:rPr>
        <w:t xml:space="preserve">. А. Безруковым и др. 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12. Защита единства и подлинности книги пророка Исаии русскими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библеистами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 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80AF8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80AF8">
        <w:rPr>
          <w:rFonts w:ascii="Times New Roman" w:hAnsi="Times New Roman" w:cs="Times New Roman"/>
          <w:sz w:val="24"/>
          <w:szCs w:val="24"/>
        </w:rPr>
        <w:t xml:space="preserve"> вв. //  Ежегодная богословская конференция ПСТГУ. М., 2010. Т. 1. №20. С. 134-142.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13. Переводы Псалтири на русский язык. Ежегодная богословская конференция ПСТГУ. М., 2011. Т. 1. №21. С. 241-246.</w:t>
      </w:r>
      <w:r w:rsidRPr="00B80A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14. Исаии пророка книга// ПЭ.  М., 2011, Т. 27, С. 76-103, в соавторстве с </w:t>
      </w:r>
      <w:r w:rsidRPr="00B80AF8">
        <w:rPr>
          <w:rFonts w:ascii="Times New Roman" w:hAnsi="Times New Roman" w:cs="Times New Roman"/>
          <w:i/>
          <w:sz w:val="24"/>
          <w:szCs w:val="24"/>
        </w:rPr>
        <w:t>А.К. Лявданским, К.В. Неклюдовым.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15. Параллели библейскому Откровению о Творении в памятниках литературы Ближнего Востока. Сретенский сборник.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>. 3,  М., 2012, С. 93-113.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16. Библейское откровение о творении мира –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Шестоднев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: жанр, экзегеза, богословие//Сретенский сборник. Выпуск </w:t>
      </w:r>
      <w:smartTag w:uri="urn:schemas-microsoft-com:office:smarttags" w:element="metricconverter">
        <w:smartTagPr>
          <w:attr w:name="ProductID" w:val="4, М"/>
        </w:smartTagPr>
        <w:r w:rsidRPr="00B80AF8">
          <w:rPr>
            <w:rFonts w:ascii="Times New Roman" w:hAnsi="Times New Roman" w:cs="Times New Roman"/>
            <w:sz w:val="24"/>
            <w:szCs w:val="24"/>
          </w:rPr>
          <w:t>4, М</w:t>
        </w:r>
      </w:smartTag>
      <w:r w:rsidRPr="00B80AF8">
        <w:rPr>
          <w:rFonts w:ascii="Times New Roman" w:hAnsi="Times New Roman" w:cs="Times New Roman"/>
          <w:sz w:val="24"/>
          <w:szCs w:val="24"/>
        </w:rPr>
        <w:t>., 2013. С. 9-46.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17. Рецензия на комментарий Я.Д. Эйделькинда. «Песнь песней. Перевод и филологический комментарий к главам 1-3» М.:РГГУ, 2015// Богословский вестник, 2015. № 18-19. С. 482-489.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lastRenderedPageBreak/>
        <w:t xml:space="preserve">18. Проблема интерпретации слов праведного Иова: А я </w:t>
      </w:r>
      <w:proofErr w:type="gramStart"/>
      <w:r w:rsidRPr="00B80AF8">
        <w:rPr>
          <w:rFonts w:ascii="Times New Roman" w:hAnsi="Times New Roman" w:cs="Times New Roman"/>
          <w:sz w:val="24"/>
          <w:szCs w:val="24"/>
        </w:rPr>
        <w:t>знаю искупитель мой жив</w:t>
      </w:r>
      <w:proofErr w:type="gramEnd"/>
      <w:r w:rsidRPr="00B80AF8">
        <w:rPr>
          <w:rFonts w:ascii="Times New Roman" w:hAnsi="Times New Roman" w:cs="Times New Roman"/>
          <w:sz w:val="24"/>
          <w:szCs w:val="24"/>
        </w:rPr>
        <w:t xml:space="preserve"> (Иов 19:25-27): церковная традиция и современная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библеистика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»//Сборник трудов кафедры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библеистики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 МДА. 2017 г. № 4. С. 231-252.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19. Рецензия на монографию игумена Арсения (Соколова) «Пророк и блудница. Комментарий к 1-3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глл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. пророка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Осии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>» М.: ББИ, 2016 г.// Богословский вестник, 2017. Т. 26-27, № 3-4. С. 654-666.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20. Борис Александрович Тураев: «История Древнего Востока» и Священное Писание//Ежегодная богословская конференция ПСТГУ, 2018. № 28. с. 24-32.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21. Научно-популярная монография «О чем говорит Ветхий Завет» М.: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Никея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, 2018. – 250 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80AF8">
        <w:rPr>
          <w:rFonts w:ascii="Times New Roman" w:hAnsi="Times New Roman" w:cs="Times New Roman"/>
          <w:sz w:val="24"/>
          <w:szCs w:val="24"/>
        </w:rPr>
        <w:t>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22. Учебное пособие «Введение в Учительные книги Ветхого Завета» М.:ПСТГУ, 2018. – 368 с.,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.  В соавторстве с </w:t>
      </w:r>
      <w:proofErr w:type="spellStart"/>
      <w:r w:rsidRPr="00B80AF8">
        <w:rPr>
          <w:rFonts w:ascii="Times New Roman" w:hAnsi="Times New Roman" w:cs="Times New Roman"/>
          <w:i/>
          <w:sz w:val="24"/>
          <w:szCs w:val="24"/>
        </w:rPr>
        <w:t>Хангиреевым</w:t>
      </w:r>
      <w:proofErr w:type="spellEnd"/>
      <w:r w:rsidRPr="00B80AF8">
        <w:rPr>
          <w:rFonts w:ascii="Times New Roman" w:hAnsi="Times New Roman" w:cs="Times New Roman"/>
          <w:i/>
          <w:sz w:val="24"/>
          <w:szCs w:val="24"/>
        </w:rPr>
        <w:t xml:space="preserve"> И.А.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23. Происхождение Пятикнижия: традиция и Документальная гипотеза//Богословский Вестник: научно-богословский журнал. Сергиев посад: Издательство Московской духовной академии, 2019. т. 32, №1. С. 39-51.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Юлиус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Велльгаузен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 xml:space="preserve"> и Герман </w:t>
      </w:r>
      <w:proofErr w:type="spellStart"/>
      <w:r w:rsidRPr="00B80AF8">
        <w:rPr>
          <w:rFonts w:ascii="Times New Roman" w:hAnsi="Times New Roman" w:cs="Times New Roman"/>
          <w:sz w:val="24"/>
          <w:szCs w:val="24"/>
        </w:rPr>
        <w:t>Гункель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>: методология библейского исследования// Богословский Вестник: научно-богословский журнал. Сергиев посад: Издательство Московской духовной академии,  2019. т. 33, №2. С. 17-37.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B80AF8">
        <w:rPr>
          <w:rFonts w:ascii="Times New Roman" w:hAnsi="Times New Roman"/>
          <w:sz w:val="24"/>
          <w:szCs w:val="24"/>
        </w:rPr>
        <w:t xml:space="preserve">25. Концепция истории Израиля Ю. </w:t>
      </w:r>
      <w:proofErr w:type="spellStart"/>
      <w:r w:rsidRPr="00B80AF8">
        <w:rPr>
          <w:rFonts w:ascii="Times New Roman" w:hAnsi="Times New Roman"/>
          <w:sz w:val="24"/>
          <w:szCs w:val="24"/>
        </w:rPr>
        <w:t>Велльгаузена</w:t>
      </w:r>
      <w:proofErr w:type="spellEnd"/>
      <w:r w:rsidRPr="00B80AF8">
        <w:rPr>
          <w:rFonts w:ascii="Times New Roman" w:hAnsi="Times New Roman"/>
          <w:sz w:val="24"/>
          <w:szCs w:val="24"/>
        </w:rPr>
        <w:t xml:space="preserve"> и Мартина Нота: основные положение и методология//«</w:t>
      </w:r>
      <w:proofErr w:type="gramStart"/>
      <w:r w:rsidRPr="00B80AF8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B80AF8">
        <w:rPr>
          <w:rFonts w:ascii="Times New Roman" w:hAnsi="Times New Roman"/>
          <w:sz w:val="24"/>
          <w:szCs w:val="24"/>
        </w:rPr>
        <w:t>ретенский</w:t>
      </w:r>
      <w:proofErr w:type="spellEnd"/>
      <w:r w:rsidRPr="00B80AF8">
        <w:rPr>
          <w:rFonts w:ascii="Times New Roman" w:hAnsi="Times New Roman"/>
          <w:sz w:val="24"/>
          <w:szCs w:val="24"/>
        </w:rPr>
        <w:t xml:space="preserve"> сборник» №9-10. 2019 г. М.: Издательство Сретенского монастыря. С. 47-71</w:t>
      </w:r>
      <w:r w:rsidRPr="00B80AF8">
        <w:rPr>
          <w:rFonts w:ascii="Times New Roman" w:hAnsi="Times New Roman"/>
          <w:b/>
          <w:sz w:val="24"/>
          <w:szCs w:val="24"/>
        </w:rPr>
        <w:t>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26. Методология библейского исследования святителя Иннокентия Пензенского на примере его «Опыта изъяснения на первый и второй псалом»//Иннокентий Пензенский, святитель. Полное собрание творений в 10 тт. Т.5. Пенза: Издательство Пензенской епархии, 2019. С. 423-432.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>27. Пролог книги Бытия 1-11: пророческое откровение, история, миф или метаистория//статья готовится к публикации в издательстве Богословского вестника МДА, 2020 г.  Т. 38 № 3.</w:t>
      </w:r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B80AF8">
        <w:rPr>
          <w:rFonts w:ascii="Times New Roman" w:hAnsi="Times New Roman" w:cs="Times New Roman"/>
          <w:sz w:val="24"/>
          <w:szCs w:val="24"/>
        </w:rPr>
        <w:t xml:space="preserve">Часть публикаций представлена на сайте: 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Pr="00B80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0AF8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</w:p>
    <w:p w:rsidR="00885370" w:rsidRPr="00B80AF8" w:rsidRDefault="00885370" w:rsidP="0088537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80AF8">
        <w:rPr>
          <w:rFonts w:ascii="Times New Roman" w:hAnsi="Times New Roman" w:cs="Times New Roman"/>
          <w:sz w:val="24"/>
          <w:szCs w:val="24"/>
          <w:lang w:val="en-US"/>
        </w:rPr>
        <w:t>pstgu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>.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Pr="00B80A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0AF8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80AF8">
        <w:rPr>
          <w:rFonts w:ascii="Times New Roman" w:hAnsi="Times New Roman" w:cs="Times New Roman"/>
          <w:sz w:val="24"/>
          <w:szCs w:val="24"/>
        </w:rPr>
        <w:t>/</w:t>
      </w:r>
      <w:r w:rsidRPr="00B80AF8">
        <w:rPr>
          <w:rFonts w:ascii="Times New Roman" w:hAnsi="Times New Roman" w:cs="Times New Roman"/>
          <w:sz w:val="24"/>
          <w:szCs w:val="24"/>
          <w:lang w:val="en-US"/>
        </w:rPr>
        <w:t>Mikhail</w:t>
      </w:r>
      <w:r w:rsidRPr="00B80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AF8">
        <w:rPr>
          <w:rFonts w:ascii="Times New Roman" w:hAnsi="Times New Roman" w:cs="Times New Roman"/>
          <w:sz w:val="24"/>
          <w:szCs w:val="24"/>
          <w:lang w:val="en-US"/>
        </w:rPr>
        <w:t>Skobelev</w:t>
      </w:r>
      <w:proofErr w:type="spellEnd"/>
    </w:p>
    <w:p w:rsidR="00885370" w:rsidRPr="00B80AF8" w:rsidRDefault="00885370" w:rsidP="00885370">
      <w:pPr>
        <w:rPr>
          <w:sz w:val="24"/>
          <w:szCs w:val="24"/>
        </w:rPr>
      </w:pPr>
    </w:p>
    <w:p w:rsidR="00E4107C" w:rsidRDefault="00E4107C">
      <w:bookmarkStart w:id="0" w:name="_GoBack"/>
      <w:bookmarkEnd w:id="0"/>
    </w:p>
    <w:sectPr w:rsidR="00E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A6B"/>
    <w:multiLevelType w:val="hybridMultilevel"/>
    <w:tmpl w:val="857C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70"/>
    <w:rsid w:val="00885370"/>
    <w:rsid w:val="00E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2020-11-13T19:05:00Z</dcterms:created>
  <dcterms:modified xsi:type="dcterms:W3CDTF">2020-11-13T19:06:00Z</dcterms:modified>
</cp:coreProperties>
</file>