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9E" w:rsidRPr="00DA4E9E" w:rsidRDefault="00DA4E9E" w:rsidP="00DA4E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E9E">
        <w:rPr>
          <w:rFonts w:ascii="Times New Roman" w:hAnsi="Times New Roman" w:cs="Times New Roman"/>
          <w:b/>
          <w:bCs/>
          <w:sz w:val="28"/>
          <w:szCs w:val="28"/>
        </w:rPr>
        <w:t>Основные публикации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М.В. Первушина</w:t>
      </w:r>
      <w:bookmarkStart w:id="0" w:name="_GoBack"/>
      <w:bookmarkEnd w:id="0"/>
    </w:p>
    <w:p w:rsidR="00DA4E9E" w:rsidRPr="00DA4E9E" w:rsidRDefault="00DA4E9E" w:rsidP="00DA4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E9E" w:rsidRPr="00DA4E9E" w:rsidRDefault="00DA4E9E" w:rsidP="00DA4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>Монографии</w:t>
      </w:r>
    </w:p>
    <w:p w:rsidR="00DA4E9E" w:rsidRPr="00DA4E9E" w:rsidRDefault="00DA4E9E" w:rsidP="00DA4E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>Христианство: век за веком. Очерки по истории христианской Церкви / под общ</w:t>
      </w:r>
      <w:proofErr w:type="gramStart"/>
      <w:r w:rsidRPr="00DA4E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E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4E9E">
        <w:rPr>
          <w:rFonts w:ascii="Times New Roman" w:hAnsi="Times New Roman" w:cs="Times New Roman"/>
          <w:sz w:val="28"/>
          <w:szCs w:val="28"/>
        </w:rPr>
        <w:t>ед. Архиепископа Егорьевского Марка (Головкова). М.: ДАРЪ, 2011. 640 с. ISBN 978-5-485-00323-4. (В соавторстве.)</w:t>
      </w:r>
    </w:p>
    <w:p w:rsidR="00DA4E9E" w:rsidRPr="00DA4E9E" w:rsidRDefault="00DA4E9E" w:rsidP="00DA4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E9E" w:rsidRPr="00DA4E9E" w:rsidRDefault="00DA4E9E" w:rsidP="00DA4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>Коллективные труды</w:t>
      </w:r>
    </w:p>
    <w:p w:rsidR="00DA4E9E" w:rsidRPr="00DA4E9E" w:rsidRDefault="00DA4E9E" w:rsidP="00DA4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>Герменевтика древнерусской литературы. Сб. 16–17 / Российская академия наук: Ин-т мировой литературы РАН; отв. ред. М.В. Первушин. М., 2014. 1216 с.</w:t>
      </w:r>
    </w:p>
    <w:p w:rsidR="00DA4E9E" w:rsidRPr="00DA4E9E" w:rsidRDefault="00DA4E9E" w:rsidP="00DA4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>Древнерусская литература: В помощь преподавателям, старшеклассникам и абитуриентам / сост. А.С. Демин, М.В. Первушин. М.: Изд-во Московского университета, 2018. 176 с.</w:t>
      </w:r>
    </w:p>
    <w:p w:rsidR="00DA4E9E" w:rsidRPr="00DA4E9E" w:rsidRDefault="00DA4E9E" w:rsidP="00DA4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E9E" w:rsidRPr="00DA4E9E" w:rsidRDefault="00DA4E9E" w:rsidP="00DA4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>Избранные статьи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>Акафист князю Иоанну</w:t>
      </w:r>
      <w:proofErr w:type="gramStart"/>
      <w:r w:rsidRPr="00DA4E9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A4E9E">
        <w:rPr>
          <w:rFonts w:ascii="Times New Roman" w:hAnsi="Times New Roman" w:cs="Times New Roman"/>
          <w:sz w:val="28"/>
          <w:szCs w:val="28"/>
        </w:rPr>
        <w:t xml:space="preserve">алите // Ученые записки Новгородского государственного университета имени Ярослава Мудрого. 2019. № 2 (20). ISSN 2411-7951. 0,5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>. URL: http://www.novsu.ru/univer/press/eNotes1/i.1086055/?id=1506851 (дата обращения:18.09.2019) DOI: 10.34680/2411-7951.2019.2(20).14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Витовт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E9E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Pr="00DA4E9E">
        <w:rPr>
          <w:rFonts w:ascii="Times New Roman" w:hAnsi="Times New Roman" w:cs="Times New Roman"/>
          <w:sz w:val="28"/>
          <w:szCs w:val="28"/>
        </w:rPr>
        <w:t xml:space="preserve">: репрезентация образа князя в литовско-белорусском летописании //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Палеоросия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. Древняя Русь: во времени, в личностях, в идеях. Научный журнал. 2019.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1 (11). С. 123-139. DOI: 10.24411/2618-9674-2019-10008   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 xml:space="preserve">Четыре Александра: Храбрый, Чудотворец, Невский, Великий полководец //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Történelmi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irodalmi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arcképek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A4E9E">
        <w:rPr>
          <w:rFonts w:ascii="Times New Roman" w:hAnsi="Times New Roman" w:cs="Times New Roman"/>
          <w:sz w:val="28"/>
          <w:szCs w:val="28"/>
        </w:rPr>
        <w:t>Hagyomány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megújulás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szláv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népek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történelmében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kultúrájában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VIII. (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szerk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4E9E">
        <w:rPr>
          <w:rFonts w:ascii="Times New Roman" w:hAnsi="Times New Roman" w:cs="Times New Roman"/>
          <w:sz w:val="28"/>
          <w:szCs w:val="28"/>
        </w:rPr>
        <w:t>Szabó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T.,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Szili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S.)</w:t>
      </w:r>
      <w:proofErr w:type="gram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Szláv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Történeti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Filológiai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Társaság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Szombathely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>, 2018. С. 8–22.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 xml:space="preserve">Образ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Довмонта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>-Тимофея в цикле произведений о псковском князе // Вестник славянских культур. 2018. Т. 49. С. 135–144.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E9E">
        <w:rPr>
          <w:rFonts w:ascii="Times New Roman" w:hAnsi="Times New Roman" w:cs="Times New Roman"/>
          <w:sz w:val="28"/>
          <w:szCs w:val="28"/>
        </w:rPr>
        <w:t>Amo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ergo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// Вестник (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Lietuvos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vyskupijos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žurnalas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>, Литва), № 1, 2018. С. 48–54; № 2, 2018. С. 52–58.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>«Всему свету славным был…» // Вестник (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Lietuvos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vyskupijos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žurnalas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>, Литва), № 3, 2018. С. 58–69.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 xml:space="preserve">Феномен чуда в агиографии через призму современного осмысления (на примерах Киево-Печерского патерика) // Ученые записки </w:t>
      </w:r>
      <w:r w:rsidRPr="00DA4E9E">
        <w:rPr>
          <w:rFonts w:ascii="Times New Roman" w:hAnsi="Times New Roman" w:cs="Times New Roman"/>
          <w:sz w:val="28"/>
          <w:szCs w:val="28"/>
        </w:rPr>
        <w:lastRenderedPageBreak/>
        <w:t>Новгородского государственного университета имени Ярослава Мудрого. 2018. № 2 (14). ISSN 2411-7951 (http://www.novsu.ru/univer/press/eNotes1). В соавторстве.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 xml:space="preserve">Проблема междисциплинарных связей в церковно-исторической науке и опасность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редукционизма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Угрешский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сборник. Труды преподавателей и магистрантов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Николо-Угрешской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православной духовной семинарии. М.: ООО «Издательство ПЕНАТЫ И КНИГА», 2017.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>. 7. С. 159–169.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>Информационная война в Древней Руси // Вестник славянских культур. 2016. № 3 (41). С. 28–40.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>Киевская митрополия при святом князе Владимире: исчезнувшая история</w:t>
      </w:r>
      <w:proofErr w:type="gramStart"/>
      <w:r w:rsidRPr="00DA4E9E">
        <w:rPr>
          <w:rFonts w:ascii="Times New Roman" w:hAnsi="Times New Roman" w:cs="Times New Roman"/>
          <w:sz w:val="28"/>
          <w:szCs w:val="28"/>
        </w:rPr>
        <w:t xml:space="preserve"> // Т</w:t>
      </w:r>
      <w:proofErr w:type="gramEnd"/>
      <w:r w:rsidRPr="00DA4E9E">
        <w:rPr>
          <w:rFonts w:ascii="Times New Roman" w:hAnsi="Times New Roman" w:cs="Times New Roman"/>
          <w:sz w:val="28"/>
          <w:szCs w:val="28"/>
        </w:rPr>
        <w:t xml:space="preserve">руди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Київськоі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духовноі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академіі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̈. 2016.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24. С. 223–235.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 xml:space="preserve">Герой и его авторское представление в агиографической литературе Средневековья: на примере житий равноапостольных братьев Кирилла и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proofErr w:type="gramStart"/>
      <w:r w:rsidRPr="00DA4E9E">
        <w:rPr>
          <w:rFonts w:ascii="Times New Roman" w:hAnsi="Times New Roman" w:cs="Times New Roman"/>
          <w:sz w:val="28"/>
          <w:szCs w:val="28"/>
        </w:rPr>
        <w:t xml:space="preserve"> // Т</w:t>
      </w:r>
      <w:proofErr w:type="gramEnd"/>
      <w:r w:rsidRPr="00DA4E9E">
        <w:rPr>
          <w:rFonts w:ascii="Times New Roman" w:hAnsi="Times New Roman" w:cs="Times New Roman"/>
          <w:sz w:val="28"/>
          <w:szCs w:val="28"/>
        </w:rPr>
        <w:t xml:space="preserve">руди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>, 2015. № 22. С. 267–277.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>Смиренного инока Фомы слово похвальное // Древняя Русь: вопросы медиевистики. 2013. № 3 (53). С. 104–105.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>Житие Константина Философа: методы миссии // Славянский мир в третьем тысячелетии. К 1150-летию славянской письменности. Книга 1. М.: Ин-т славяноведения РАН, 2013. С. 75–85.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 xml:space="preserve">Житие преподобного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Евфросина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Псковского: некоторые аспекты изучения (монография) // Герменевтика древнерусской литературы. Сб. 15 / Ин-т мировой литературы РАН; Об-во исследователей Древней Руси; отв. ред. О.А. Туфанова. М.: Рукописные памятники Древней Руси, 2010. С. 13–186.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 xml:space="preserve">Еретик, что «чреватая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жонка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>» // Научные и учебные тетради Высшей школы (факультета) телевидения МГУ им. М. В. Ломоносова. Тетрадь № 2: январь-май 2010 г. / сост. В. Т. Третьяков. М., 2010. С. 154–164.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>Авторская позиция в документальном повествовании / Круглый стол «Литература и документ» // Книжное обозрение, 14 (2284) за 14 июня – 27 июня 2010 г. С. 10.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Профитизм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в жизни патриарха Никона</w:t>
      </w:r>
      <w:proofErr w:type="gramStart"/>
      <w:r w:rsidRPr="00DA4E9E">
        <w:rPr>
          <w:rFonts w:ascii="Times New Roman" w:hAnsi="Times New Roman" w:cs="Times New Roman"/>
          <w:sz w:val="28"/>
          <w:szCs w:val="28"/>
        </w:rPr>
        <w:t xml:space="preserve"> // Н</w:t>
      </w:r>
      <w:proofErr w:type="gramEnd"/>
      <w:r w:rsidRPr="00DA4E9E">
        <w:rPr>
          <w:rFonts w:ascii="Times New Roman" w:hAnsi="Times New Roman" w:cs="Times New Roman"/>
          <w:sz w:val="28"/>
          <w:szCs w:val="28"/>
        </w:rPr>
        <w:t xml:space="preserve">а ниве Христовой: Материалы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DA4E9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A4E9E">
        <w:rPr>
          <w:rFonts w:ascii="Times New Roman" w:hAnsi="Times New Roman" w:cs="Times New Roman"/>
          <w:sz w:val="28"/>
          <w:szCs w:val="28"/>
        </w:rPr>
        <w:t>богосл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. / сост. А.С.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Мельков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>, В.Ю. Венедиктов. М.; Ярославль, 2009. С. 121–133.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 xml:space="preserve">Жанровая загадка Первоначальной редакции «Жития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Евфросина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Псковского» // Родная речь. М., 2009. № 5. С. 117–126.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 xml:space="preserve">Символика чисел в «Житии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Евфросина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E9E">
        <w:rPr>
          <w:rFonts w:ascii="Times New Roman" w:hAnsi="Times New Roman" w:cs="Times New Roman"/>
          <w:sz w:val="28"/>
          <w:szCs w:val="28"/>
        </w:rPr>
        <w:t>Псковского</w:t>
      </w:r>
      <w:proofErr w:type="gramEnd"/>
      <w:r w:rsidRPr="00DA4E9E">
        <w:rPr>
          <w:rFonts w:ascii="Times New Roman" w:hAnsi="Times New Roman" w:cs="Times New Roman"/>
          <w:sz w:val="28"/>
          <w:szCs w:val="28"/>
        </w:rPr>
        <w:t>» // Вестник славянских культур. М., 2009. № 2 (XII). С. 69–79.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t xml:space="preserve">О стиле «Жития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Евфросина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Псковского» // Русская речь. М., 2007. № 5 (сентябрь-октябрь). С. 74–78.</w:t>
      </w:r>
    </w:p>
    <w:p w:rsidR="00DA4E9E" w:rsidRPr="00DA4E9E" w:rsidRDefault="00DA4E9E" w:rsidP="00DA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9E">
        <w:rPr>
          <w:rFonts w:ascii="Times New Roman" w:hAnsi="Times New Roman" w:cs="Times New Roman"/>
          <w:sz w:val="28"/>
          <w:szCs w:val="28"/>
        </w:rPr>
        <w:lastRenderedPageBreak/>
        <w:t xml:space="preserve">Преподобный </w:t>
      </w:r>
      <w:proofErr w:type="spellStart"/>
      <w:r w:rsidRPr="00DA4E9E">
        <w:rPr>
          <w:rFonts w:ascii="Times New Roman" w:hAnsi="Times New Roman" w:cs="Times New Roman"/>
          <w:sz w:val="28"/>
          <w:szCs w:val="28"/>
        </w:rPr>
        <w:t>Евфросин</w:t>
      </w:r>
      <w:proofErr w:type="spellEnd"/>
      <w:r w:rsidRPr="00DA4E9E">
        <w:rPr>
          <w:rFonts w:ascii="Times New Roman" w:hAnsi="Times New Roman" w:cs="Times New Roman"/>
          <w:sz w:val="28"/>
          <w:szCs w:val="28"/>
        </w:rPr>
        <w:t xml:space="preserve"> Псковский в контексте русской церковной истории // Церковно-исторический вестник. М., 2004. № 11. С. 95-112.</w:t>
      </w:r>
    </w:p>
    <w:p w:rsidR="000D587D" w:rsidRPr="00DA4E9E" w:rsidRDefault="000D587D">
      <w:pPr>
        <w:rPr>
          <w:rFonts w:ascii="Times New Roman" w:hAnsi="Times New Roman" w:cs="Times New Roman"/>
          <w:sz w:val="28"/>
          <w:szCs w:val="28"/>
        </w:rPr>
      </w:pPr>
    </w:p>
    <w:sectPr w:rsidR="000D587D" w:rsidRPr="00DA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60BC"/>
    <w:multiLevelType w:val="hybridMultilevel"/>
    <w:tmpl w:val="C138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4744B"/>
    <w:multiLevelType w:val="hybridMultilevel"/>
    <w:tmpl w:val="7042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6563C"/>
    <w:multiLevelType w:val="hybridMultilevel"/>
    <w:tmpl w:val="2BC4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9E"/>
    <w:rsid w:val="000D587D"/>
    <w:rsid w:val="00D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2020-10-30T20:41:00Z</dcterms:created>
  <dcterms:modified xsi:type="dcterms:W3CDTF">2020-10-30T20:42:00Z</dcterms:modified>
</cp:coreProperties>
</file>