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B6" w:rsidRPr="00891AB6" w:rsidRDefault="00891AB6" w:rsidP="00891AB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891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публикаций:</w:t>
      </w:r>
    </w:p>
    <w:bookmarkEnd w:id="0"/>
    <w:p w:rsidR="00891AB6" w:rsidRPr="005C2327" w:rsidRDefault="00891AB6" w:rsidP="00891AB6">
      <w:pPr>
        <w:jc w:val="both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r w:rsidRPr="005C2327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1) </w:t>
      </w:r>
      <w:r w:rsidRPr="005C2327">
        <w:rPr>
          <w:rFonts w:ascii="Times New Roman" w:eastAsia="Times New Roman" w:hAnsi="Times New Roman" w:cs="Times New Roman"/>
          <w:i/>
          <w:sz w:val="28"/>
          <w:szCs w:val="28"/>
          <w:lang w:val="it-IT" w:eastAsia="ru-RU"/>
        </w:rPr>
        <w:t xml:space="preserve">Artyushin S. </w:t>
      </w:r>
      <w:r w:rsidRPr="005C2327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Raccontare la salvezza attraverso lo sguardo. Portata salvifica e implicazioni pragmatiche del «vedere Gesù» nel Vangelo di Luca. «Tesi Gregoriana. Serie Teologia 203». Roma, 2014.</w:t>
      </w:r>
    </w:p>
    <w:p w:rsidR="00891AB6" w:rsidRPr="005C2327" w:rsidRDefault="00891AB6" w:rsidP="00891AB6">
      <w:pPr>
        <w:widowControl w:val="0"/>
        <w:suppressAutoHyphens/>
        <w:jc w:val="both"/>
        <w:rPr>
          <w:rFonts w:ascii="Times New Roman" w:eastAsia="Arial Unicode MS" w:hAnsi="Times New Roman" w:cs="Times New Roman"/>
          <w:spacing w:val="-2"/>
          <w:kern w:val="1"/>
          <w:sz w:val="28"/>
          <w:szCs w:val="28"/>
          <w:lang w:val="it-IT" w:eastAsia="ar-SA"/>
        </w:rPr>
      </w:pPr>
      <w:r w:rsidRPr="005C2327">
        <w:rPr>
          <w:rFonts w:ascii="Times New Roman" w:eastAsia="Arial Unicode MS" w:hAnsi="Times New Roman" w:cs="Times New Roman"/>
          <w:kern w:val="1"/>
          <w:sz w:val="28"/>
          <w:szCs w:val="28"/>
          <w:lang w:val="it-IT" w:eastAsia="ar-SA"/>
        </w:rPr>
        <w:t xml:space="preserve">2) </w:t>
      </w:r>
      <w:r w:rsidRPr="005C2327">
        <w:rPr>
          <w:rFonts w:ascii="Times New Roman" w:eastAsia="Arial Unicode MS" w:hAnsi="Times New Roman" w:cs="Times New Roman"/>
          <w:i/>
          <w:iCs/>
          <w:spacing w:val="-2"/>
          <w:kern w:val="1"/>
          <w:sz w:val="28"/>
          <w:szCs w:val="28"/>
          <w:lang w:val="it-IT" w:eastAsia="ar-SA"/>
        </w:rPr>
        <w:t>Artyushin S.</w:t>
      </w:r>
      <w:r w:rsidRPr="005C2327">
        <w:rPr>
          <w:rFonts w:ascii="Times New Roman" w:eastAsia="Arial Unicode MS" w:hAnsi="Times New Roman" w:cs="Times New Roman"/>
          <w:spacing w:val="-2"/>
          <w:kern w:val="1"/>
          <w:sz w:val="28"/>
          <w:szCs w:val="28"/>
          <w:lang w:val="it-IT" w:eastAsia="ar-SA"/>
        </w:rPr>
        <w:t xml:space="preserve"> Colui che fa misericordia. Lc 10,25–37 in chiave comunicativa. Roma, 2009.</w:t>
      </w:r>
    </w:p>
    <w:p w:rsidR="00891AB6" w:rsidRPr="005C2327" w:rsidRDefault="00891AB6" w:rsidP="00891AB6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shd w:val="clear" w:color="auto" w:fill="FFFFFF"/>
          <w:lang w:eastAsia="ar-SA"/>
        </w:rPr>
      </w:pPr>
      <w:r w:rsidRPr="005C2327">
        <w:rPr>
          <w:rFonts w:ascii="Times New Roman" w:eastAsia="Arial Unicode MS" w:hAnsi="Times New Roman" w:cs="Times New Roman"/>
          <w:spacing w:val="-2"/>
          <w:kern w:val="1"/>
          <w:sz w:val="28"/>
          <w:szCs w:val="28"/>
          <w:lang w:eastAsia="ar-SA"/>
        </w:rPr>
        <w:t xml:space="preserve">3) </w:t>
      </w:r>
      <w:r w:rsidRPr="005C2327">
        <w:rPr>
          <w:rFonts w:ascii="Times New Roman" w:eastAsia="Arial Unicode MS" w:hAnsi="Times New Roman" w:cs="Times New Roman"/>
          <w:spacing w:val="-2"/>
          <w:kern w:val="1"/>
          <w:sz w:val="28"/>
          <w:szCs w:val="28"/>
          <w:shd w:val="clear" w:color="auto" w:fill="FFFFFF"/>
          <w:lang w:eastAsia="ar-SA"/>
        </w:rPr>
        <w:t>Свт. Амвросий Медиоланский. Об Иосифе / Пер. с лат</w:t>
      </w:r>
      <w:proofErr w:type="gramStart"/>
      <w:r w:rsidRPr="005C2327">
        <w:rPr>
          <w:rFonts w:ascii="Times New Roman" w:eastAsia="Arial Unicode MS" w:hAnsi="Times New Roman" w:cs="Times New Roman"/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., </w:t>
      </w:r>
      <w:proofErr w:type="gramEnd"/>
      <w:r w:rsidRPr="005C2327">
        <w:rPr>
          <w:rFonts w:ascii="Times New Roman" w:eastAsia="Arial Unicode MS" w:hAnsi="Times New Roman" w:cs="Times New Roman"/>
          <w:spacing w:val="-2"/>
          <w:kern w:val="1"/>
          <w:sz w:val="28"/>
          <w:szCs w:val="28"/>
          <w:shd w:val="clear" w:color="auto" w:fill="FFFFFF"/>
          <w:lang w:eastAsia="ar-SA"/>
        </w:rPr>
        <w:t>предисл. и комм. Артюшина С.А. // Свт. Амвросий Медиоланский. Собрание сочинений. Т. 3. М.: ПСТГУ, 2013.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jc w:val="both"/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</w:pPr>
      <w:r w:rsidRPr="005C232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shd w:val="clear" w:color="auto" w:fill="FFFFFF"/>
          <w:lang w:eastAsia="ar-SA"/>
        </w:rPr>
        <w:t>4)</w:t>
      </w: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5C2327">
        <w:rPr>
          <w:rFonts w:ascii="Times New Roman" w:eastAsia="Times New Roman" w:hAnsi="Times New Roman" w:cs="Times New Roman"/>
          <w:i/>
          <w:iCs/>
          <w:color w:val="000000"/>
          <w:spacing w:val="-7"/>
          <w:kern w:val="1"/>
          <w:sz w:val="28"/>
          <w:szCs w:val="28"/>
          <w:lang w:eastAsia="ar-SA"/>
        </w:rPr>
        <w:t>Филофей</w:t>
      </w:r>
      <w:proofErr w:type="spellEnd"/>
      <w:r w:rsidRPr="005C2327">
        <w:rPr>
          <w:rFonts w:ascii="Times New Roman" w:eastAsia="Times New Roman" w:hAnsi="Times New Roman" w:cs="Times New Roman"/>
          <w:i/>
          <w:iCs/>
          <w:color w:val="000000"/>
          <w:spacing w:val="-7"/>
          <w:kern w:val="1"/>
          <w:sz w:val="28"/>
          <w:szCs w:val="28"/>
          <w:lang w:eastAsia="ar-SA"/>
        </w:rPr>
        <w:t xml:space="preserve"> (Артюшин), </w:t>
      </w:r>
      <w:proofErr w:type="spellStart"/>
      <w:r w:rsidRPr="005C2327">
        <w:rPr>
          <w:rFonts w:ascii="Times New Roman" w:eastAsia="Times New Roman" w:hAnsi="Times New Roman" w:cs="Times New Roman"/>
          <w:i/>
          <w:iCs/>
          <w:color w:val="000000"/>
          <w:spacing w:val="-7"/>
          <w:kern w:val="1"/>
          <w:sz w:val="28"/>
          <w:szCs w:val="28"/>
          <w:lang w:eastAsia="ar-SA"/>
        </w:rPr>
        <w:t>иерод</w:t>
      </w:r>
      <w:proofErr w:type="spellEnd"/>
      <w:r w:rsidRPr="005C2327">
        <w:rPr>
          <w:rFonts w:ascii="Times New Roman" w:eastAsia="Times New Roman" w:hAnsi="Times New Roman" w:cs="Times New Roman"/>
          <w:i/>
          <w:iCs/>
          <w:color w:val="000000"/>
          <w:spacing w:val="-7"/>
          <w:kern w:val="1"/>
          <w:sz w:val="28"/>
          <w:szCs w:val="28"/>
          <w:lang w:eastAsia="ar-SA"/>
        </w:rPr>
        <w:t>.</w:t>
      </w: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 Образ Мессии в Евангелии от Матфея: от </w:t>
      </w:r>
      <w:proofErr w:type="spellStart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>нарративного</w:t>
      </w:r>
      <w:proofErr w:type="spellEnd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 анализа к </w:t>
      </w:r>
      <w:proofErr w:type="spellStart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>нарративному</w:t>
      </w:r>
      <w:proofErr w:type="spellEnd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 богословию // Материалы ежегодной научно-богословской конференции Санкт-Петербургской Духовной Академии. Материалы международной конференции «Приходское служение и общинная жизнь». </w:t>
      </w: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shd w:val="clear" w:color="auto" w:fill="FFFFFF"/>
          <w:lang w:eastAsia="ar-SA"/>
        </w:rPr>
        <w:t xml:space="preserve">– </w:t>
      </w: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>СПб</w:t>
      </w:r>
      <w:proofErr w:type="gramStart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.: </w:t>
      </w:r>
      <w:proofErr w:type="gramEnd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>Издательство Санкт-Петербургской Православной Духовной Академии, 2015.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jc w:val="both"/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</w:pP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5) </w:t>
      </w:r>
      <w:proofErr w:type="spellStart"/>
      <w:r w:rsidRPr="005C2327">
        <w:rPr>
          <w:rFonts w:ascii="Times New Roman" w:eastAsia="Times New Roman" w:hAnsi="Times New Roman" w:cs="Times New Roman"/>
          <w:i/>
          <w:iCs/>
          <w:color w:val="000000"/>
          <w:spacing w:val="-7"/>
          <w:kern w:val="1"/>
          <w:sz w:val="28"/>
          <w:szCs w:val="28"/>
          <w:lang w:eastAsia="ar-SA"/>
        </w:rPr>
        <w:t>Филофей</w:t>
      </w:r>
      <w:proofErr w:type="spellEnd"/>
      <w:r w:rsidRPr="005C2327">
        <w:rPr>
          <w:rFonts w:ascii="Times New Roman" w:eastAsia="Times New Roman" w:hAnsi="Times New Roman" w:cs="Times New Roman"/>
          <w:i/>
          <w:iCs/>
          <w:color w:val="000000"/>
          <w:spacing w:val="-7"/>
          <w:kern w:val="1"/>
          <w:sz w:val="28"/>
          <w:szCs w:val="28"/>
          <w:lang w:eastAsia="ar-SA"/>
        </w:rPr>
        <w:t xml:space="preserve"> (Артюшин), иеро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kern w:val="1"/>
          <w:sz w:val="28"/>
          <w:szCs w:val="28"/>
          <w:lang w:eastAsia="ar-SA"/>
        </w:rPr>
        <w:t>м</w:t>
      </w:r>
      <w:r w:rsidRPr="005C2327">
        <w:rPr>
          <w:rFonts w:ascii="Times New Roman" w:eastAsia="Times New Roman" w:hAnsi="Times New Roman" w:cs="Times New Roman"/>
          <w:i/>
          <w:iCs/>
          <w:color w:val="000000"/>
          <w:spacing w:val="-7"/>
          <w:kern w:val="1"/>
          <w:sz w:val="28"/>
          <w:szCs w:val="28"/>
          <w:lang w:eastAsia="ar-SA"/>
        </w:rPr>
        <w:t>.</w:t>
      </w: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 Современный метод </w:t>
      </w:r>
      <w:proofErr w:type="spellStart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>нарративного</w:t>
      </w:r>
      <w:proofErr w:type="spellEnd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 анализа и </w:t>
      </w:r>
      <w:proofErr w:type="spellStart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>перпективы</w:t>
      </w:r>
      <w:proofErr w:type="spellEnd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 его использования в православной </w:t>
      </w:r>
      <w:proofErr w:type="spellStart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>библеистике</w:t>
      </w:r>
      <w:proofErr w:type="spellEnd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 // Богословский вестник 2015. № 16-17. С. 23-55.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jc w:val="both"/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</w:pP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6) </w:t>
      </w:r>
      <w:r w:rsidRPr="005C2327">
        <w:rPr>
          <w:rFonts w:ascii="Times New Roman" w:eastAsia="Times New Roman" w:hAnsi="Times New Roman" w:cs="Times New Roman"/>
          <w:i/>
          <w:color w:val="000000"/>
          <w:spacing w:val="-7"/>
          <w:kern w:val="1"/>
          <w:sz w:val="28"/>
          <w:szCs w:val="28"/>
          <w:lang w:eastAsia="ar-SA"/>
        </w:rPr>
        <w:t>«Идите, научите все народы...»</w:t>
      </w: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ar-SA"/>
        </w:rPr>
        <w:t xml:space="preserve"> (Мф. 28,19): Христос и ученики в Евангелии от Матфея</w:t>
      </w: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  <w:t>: Христос и ученики в Евангелии от Матфея // Богословский вестник. 2017. № 24–25. С. 21–55.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jc w:val="both"/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</w:pP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  <w:t xml:space="preserve">7) Путь Мессии в Евангелии от Матфея: текст и богословие в свете </w:t>
      </w:r>
      <w:proofErr w:type="spellStart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  <w:t>нарративного</w:t>
      </w:r>
      <w:proofErr w:type="spellEnd"/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  <w:t xml:space="preserve"> анализа // Сборник трудов Кафедры Библеистики МДА. № 3. М., Сергиев Посад, 2016. С. 142–159.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jc w:val="both"/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</w:pP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  <w:t>8)</w:t>
      </w:r>
      <w:r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  <w:t xml:space="preserve"> </w:t>
      </w:r>
      <w:proofErr w:type="spellStart"/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>Нарративная</w:t>
      </w:r>
      <w:proofErr w:type="spellEnd"/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 xml:space="preserve"> функция и богословские следствия чередования мотивов «видеть» и «слышать» в Евангелии детства (</w:t>
      </w:r>
      <w:proofErr w:type="spellStart"/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>Лк</w:t>
      </w:r>
      <w:proofErr w:type="spellEnd"/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 xml:space="preserve"> 1–2) </w:t>
      </w:r>
      <w:r w:rsidRPr="005C2327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//Актуальные вопросы современного богословия и церковной науки. Материалы международной научно-богословской конференции, посвященной 70-летию возрождения </w:t>
      </w:r>
      <w:proofErr w:type="spellStart"/>
      <w:r w:rsidRPr="005C2327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СПбДА</w:t>
      </w:r>
      <w:proofErr w:type="spellEnd"/>
      <w:r w:rsidRPr="005C2327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 16–17 ноября 2016 г. Часть 1: Библеистика. Богословие. Церковное искусство и архитектура. СПб</w:t>
      </w:r>
      <w:proofErr w:type="gramStart"/>
      <w:r w:rsidRPr="005C2327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.: </w:t>
      </w:r>
      <w:proofErr w:type="gramEnd"/>
      <w:r w:rsidRPr="005C2327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Издательство </w:t>
      </w:r>
      <w:proofErr w:type="spellStart"/>
      <w:r w:rsidRPr="005C2327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СПбПДА</w:t>
      </w:r>
      <w:proofErr w:type="spellEnd"/>
      <w:r w:rsidRPr="005C2327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, 2017. С. 85–135.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shd w:val="clear" w:color="auto" w:fill="FFFFFF"/>
          <w:lang w:eastAsia="he-IL" w:bidi="he-IL"/>
        </w:rPr>
      </w:pPr>
      <w:r w:rsidRPr="005C2327">
        <w:rPr>
          <w:rFonts w:ascii="Times New Roman" w:eastAsia="Times New Roman" w:hAnsi="Times New Roman" w:cs="Times New Roman"/>
          <w:color w:val="000000"/>
          <w:spacing w:val="-7"/>
          <w:kern w:val="1"/>
          <w:sz w:val="28"/>
          <w:szCs w:val="28"/>
          <w:lang w:eastAsia="he-IL" w:bidi="he-IL"/>
        </w:rPr>
        <w:t xml:space="preserve">9) </w:t>
      </w:r>
      <w:proofErr w:type="spellStart"/>
      <w:r w:rsidRPr="005C23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he-IL" w:bidi="he-IL"/>
        </w:rPr>
        <w:t>Субботство</w:t>
      </w:r>
      <w:proofErr w:type="spellEnd"/>
      <w:r w:rsidRPr="005C23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he-IL" w:bidi="he-IL"/>
        </w:rPr>
        <w:t xml:space="preserve"> Закона и милосердие Господина субботы (Мф. 12, 1-8): к вопросу о богословии «двух Заветов» в Евангелии от Матфея </w:t>
      </w:r>
      <w:r w:rsidRPr="005C23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shd w:val="clear" w:color="auto" w:fill="FFFFFF"/>
          <w:lang w:eastAsia="he-IL" w:bidi="he-IL"/>
        </w:rPr>
        <w:t>// Богословский вестник. 2017. № 26–27. Выпуск 3-4. С. 223–279.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</w:pPr>
      <w:r w:rsidRPr="005C23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shd w:val="clear" w:color="auto" w:fill="FFFFFF"/>
          <w:lang w:eastAsia="he-IL" w:bidi="he-IL"/>
        </w:rPr>
        <w:t xml:space="preserve">10) </w:t>
      </w:r>
      <w:r w:rsidRPr="005C232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  <w:t xml:space="preserve">Богословские и прагматические аспекты дара рассуждения в посланиях ап. Павла </w:t>
      </w:r>
      <w:r w:rsidRPr="005C2327">
        <w:rPr>
          <w:rFonts w:ascii="Times New Roman" w:eastAsia="Times New Roman" w:hAnsi="Times New Roman" w:cs="Times New Roman"/>
          <w:bCs/>
          <w:color w:val="00000A"/>
          <w:spacing w:val="-7"/>
          <w:kern w:val="1"/>
          <w:sz w:val="28"/>
          <w:szCs w:val="28"/>
          <w:shd w:val="clear" w:color="auto" w:fill="FFFFFF"/>
          <w:lang w:eastAsia="he-IL" w:bidi="he-IL"/>
        </w:rPr>
        <w:t>// Библия и христианская древность. 2019. Т. 2. № 2. С. 231-253</w:t>
      </w:r>
      <w:r w:rsidRPr="005C232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  <w:t>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</w:pPr>
      <w:r w:rsidRPr="005C232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  <w:t xml:space="preserve">11) 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>Папский библейский институт // ПЭ</w:t>
      </w:r>
      <w:proofErr w:type="gramStart"/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 xml:space="preserve"> Т</w:t>
      </w:r>
      <w:proofErr w:type="gramEnd"/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>от 54. С. 536-537.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snapToGrid w:val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</w:pPr>
      <w:r w:rsidRPr="005C232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  <w:lastRenderedPageBreak/>
        <w:t xml:space="preserve">12) 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>Папская библейская комиссия // ПЭ Том 54. С. 526-530.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snapToGrid w:val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</w:pP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 xml:space="preserve">13) Статья в «Православной Энциклопедии»: энциклика 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val="it-IT" w:eastAsia="he-IL" w:bidi="he-IL"/>
        </w:rPr>
        <w:t>Providentissimus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 xml:space="preserve"> 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val="it-IT" w:eastAsia="he-IL" w:bidi="he-IL"/>
        </w:rPr>
        <w:t>Deus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 xml:space="preserve"> (</w:t>
      </w:r>
      <w:r w:rsidRPr="005C2327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shd w:val="clear" w:color="auto" w:fill="FFFFFF"/>
          <w:lang w:eastAsia="he-IL" w:bidi="he-IL"/>
        </w:rPr>
        <w:t>готовится к печати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>).</w:t>
      </w:r>
    </w:p>
    <w:p w:rsidR="00891AB6" w:rsidRPr="005C2327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snapToGrid w:val="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</w:pP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 xml:space="preserve">14) Статья в «Православной Энциклопедии»: энциклика 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val="en-US" w:eastAsia="he-IL" w:bidi="he-IL"/>
        </w:rPr>
        <w:t>Rerum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 xml:space="preserve"> </w:t>
      </w:r>
      <w:proofErr w:type="spellStart"/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val="en-US" w:eastAsia="he-IL" w:bidi="he-IL"/>
        </w:rPr>
        <w:t>novarum</w:t>
      </w:r>
      <w:proofErr w:type="spellEnd"/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 xml:space="preserve"> (</w:t>
      </w:r>
      <w:r w:rsidRPr="005C2327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8"/>
          <w:szCs w:val="28"/>
          <w:shd w:val="clear" w:color="auto" w:fill="FFFFFF"/>
          <w:lang w:eastAsia="he-IL" w:bidi="he-IL"/>
        </w:rPr>
        <w:t>готовится к печати</w:t>
      </w:r>
      <w:r w:rsidRPr="005C232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e-IL" w:bidi="he-IL"/>
        </w:rPr>
        <w:t>).</w:t>
      </w:r>
    </w:p>
    <w:p w:rsidR="00891AB6" w:rsidRPr="00124201" w:rsidRDefault="00891AB6" w:rsidP="00891AB6">
      <w:pPr>
        <w:widowControl w:val="0"/>
        <w:shd w:val="clear" w:color="auto" w:fill="FFFFFF"/>
        <w:tabs>
          <w:tab w:val="left" w:pos="2897"/>
        </w:tabs>
        <w:suppressAutoHyphens/>
        <w:jc w:val="both"/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val="it-IT" w:eastAsia="he-IL" w:bidi="he-IL"/>
        </w:rPr>
      </w:pPr>
      <w:r w:rsidRPr="005C232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shd w:val="clear" w:color="auto" w:fill="FFFFFF"/>
          <w:lang w:eastAsia="he-IL" w:bidi="he-IL"/>
        </w:rPr>
        <w:t>15)</w:t>
      </w:r>
      <w:r w:rsidRPr="005C2327">
        <w:rPr>
          <w:rFonts w:ascii="Times New Roman" w:eastAsia="Times New Roman" w:hAnsi="Times New Roman" w:cs="Times New Roman"/>
          <w:i/>
          <w:color w:val="00000A"/>
          <w:kern w:val="1"/>
          <w:sz w:val="28"/>
          <w:szCs w:val="28"/>
          <w:shd w:val="clear" w:color="auto" w:fill="FFFFFF"/>
          <w:lang w:eastAsia="he-IL" w:bidi="he-IL"/>
        </w:rPr>
        <w:t xml:space="preserve"> </w:t>
      </w:r>
      <w:r w:rsidRPr="005C232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  <w:t>Проповедь в Назарете (</w:t>
      </w:r>
      <w:proofErr w:type="spellStart"/>
      <w:r w:rsidRPr="005C232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  <w:t>Лк</w:t>
      </w:r>
      <w:proofErr w:type="spellEnd"/>
      <w:r w:rsidRPr="005C232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  <w:t xml:space="preserve">. 4,16-30): загадка отвергнутого Мессии в свете богословия Евангелия от Луки // Актуальные вопросы церковной науки. </w:t>
      </w:r>
      <w:r w:rsidRPr="00124201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val="it-IT" w:eastAsia="he-IL" w:bidi="he-IL"/>
        </w:rPr>
        <w:t xml:space="preserve">2019. № 2. </w:t>
      </w:r>
      <w:r w:rsidRPr="005C232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eastAsia="he-IL" w:bidi="he-IL"/>
        </w:rPr>
        <w:t>С</w:t>
      </w:r>
      <w:r w:rsidRPr="00124201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  <w:shd w:val="clear" w:color="auto" w:fill="FFFFFF"/>
          <w:lang w:val="it-IT" w:eastAsia="he-IL" w:bidi="he-IL"/>
        </w:rPr>
        <w:t>. 126-131.</w:t>
      </w:r>
    </w:p>
    <w:p w:rsidR="00891AB6" w:rsidRDefault="00891AB6" w:rsidP="00891AB6">
      <w:pPr>
        <w:jc w:val="both"/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val="it-IT" w:eastAsia="he-IL" w:bidi="he-IL"/>
        </w:rPr>
      </w:pPr>
      <w:r w:rsidRPr="005C2327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val="it-IT" w:eastAsia="he-IL" w:bidi="he-IL"/>
        </w:rPr>
        <w:t xml:space="preserve">16) </w:t>
      </w:r>
      <w:r w:rsidRPr="005C2327">
        <w:rPr>
          <w:rFonts w:ascii="Times New Roman" w:eastAsia="Times New Roman" w:hAnsi="Times New Roman" w:cs="Times New Roman"/>
          <w:bCs/>
          <w:i/>
          <w:iCs/>
          <w:color w:val="00000A"/>
          <w:spacing w:val="-7"/>
          <w:sz w:val="28"/>
          <w:szCs w:val="28"/>
          <w:shd w:val="clear" w:color="auto" w:fill="FFFFFF"/>
          <w:lang w:val="it-IT" w:eastAsia="he-IL" w:bidi="he-IL"/>
        </w:rPr>
        <w:t>Filofej (Artjušin)</w:t>
      </w:r>
      <w:r w:rsidRPr="005C2327"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val="it-IT" w:eastAsia="he-IL" w:bidi="he-IL"/>
        </w:rPr>
        <w:t>. L’arte del discernere: teologia e prassi nel pensiero paolino // Atti del Convegno internazionale di spiritualità ortodossa «Discernimento e vita cristiana», Monastero di Bose 2018. Magnano: Edizioni Qiqajon, 2019. P. 51–70.</w:t>
      </w:r>
    </w:p>
    <w:p w:rsidR="00891AB6" w:rsidRPr="00441FFB" w:rsidRDefault="00891AB6" w:rsidP="00891AB6">
      <w:pPr>
        <w:jc w:val="both"/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</w:pPr>
      <w:r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  <w:t xml:space="preserve">17) Собеседования </w:t>
      </w:r>
      <w:r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val="en-US" w:eastAsia="he-IL" w:bidi="he-IL"/>
        </w:rPr>
        <w:t>VIII</w:t>
      </w:r>
      <w:r w:rsidRPr="00441FFB"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val="en-US" w:eastAsia="he-IL" w:bidi="he-IL"/>
        </w:rPr>
        <w:t>IX</w:t>
      </w:r>
      <w:r w:rsidRPr="00441FFB"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  <w:t xml:space="preserve">// Преподобный Иоанн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  <w:t>Кассиан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  <w:t xml:space="preserve"> Римлянин. Творения. Т. 11. М.: «Сибирская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  <w:t>благозвонница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pacing w:val="-7"/>
          <w:sz w:val="28"/>
          <w:szCs w:val="28"/>
          <w:shd w:val="clear" w:color="auto" w:fill="FFFFFF"/>
          <w:lang w:eastAsia="he-IL" w:bidi="he-IL"/>
        </w:rPr>
        <w:t>», 2020. С. 492–545.</w:t>
      </w:r>
    </w:p>
    <w:p w:rsidR="00891AB6" w:rsidRPr="0024599E" w:rsidRDefault="00891AB6" w:rsidP="00891AB6">
      <w:pPr>
        <w:spacing w:line="254" w:lineRule="atLeas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24599E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he-IL" w:bidi="he-IL"/>
        </w:rPr>
        <w:t>1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he-IL" w:bidi="he-IL"/>
        </w:rPr>
        <w:t>8</w:t>
      </w:r>
      <w:r w:rsidRPr="0024599E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he-IL" w:bidi="he-IL"/>
        </w:rPr>
        <w:t xml:space="preserve">) </w:t>
      </w:r>
      <w:r w:rsidRPr="0024599E">
        <w:rPr>
          <w:rFonts w:ascii="Times New Roman" w:hAnsi="Times New Roman"/>
          <w:bCs/>
          <w:sz w:val="28"/>
          <w:szCs w:val="28"/>
        </w:rPr>
        <w:t xml:space="preserve">Увидеть Христа глазами веры: богословская программа и сюжетный замысел Евангелия от Луки на примере </w:t>
      </w:r>
      <w:proofErr w:type="spellStart"/>
      <w:r w:rsidRPr="0024599E">
        <w:rPr>
          <w:rFonts w:ascii="Times New Roman" w:hAnsi="Times New Roman"/>
          <w:bCs/>
          <w:sz w:val="28"/>
          <w:szCs w:val="28"/>
        </w:rPr>
        <w:t>нарративного</w:t>
      </w:r>
      <w:proofErr w:type="spellEnd"/>
      <w:r w:rsidRPr="0024599E">
        <w:rPr>
          <w:rFonts w:ascii="Times New Roman" w:hAnsi="Times New Roman"/>
          <w:bCs/>
          <w:sz w:val="28"/>
          <w:szCs w:val="28"/>
        </w:rPr>
        <w:t xml:space="preserve"> портрета Ирода Антипы (</w:t>
      </w:r>
      <w:r w:rsidRPr="0024599E">
        <w:rPr>
          <w:rFonts w:ascii="Times New Roman" w:hAnsi="Times New Roman"/>
          <w:bCs/>
          <w:i/>
          <w:iCs/>
          <w:sz w:val="28"/>
          <w:szCs w:val="28"/>
        </w:rPr>
        <w:t>готовится к печати</w:t>
      </w:r>
      <w:r w:rsidRPr="0024599E">
        <w:rPr>
          <w:rFonts w:ascii="Times New Roman" w:hAnsi="Times New Roman"/>
          <w:bCs/>
          <w:sz w:val="28"/>
          <w:szCs w:val="28"/>
        </w:rPr>
        <w:t>)</w:t>
      </w:r>
    </w:p>
    <w:p w:rsidR="00BB293C" w:rsidRDefault="00891AB6" w:rsidP="00891AB6">
      <w:r w:rsidRPr="0024599E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9</w:t>
      </w:r>
      <w:r w:rsidRPr="0024599E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)</w:t>
      </w:r>
      <w:r w:rsidRPr="0024599E">
        <w:rPr>
          <w:rFonts w:ascii="Times New Roman" w:eastAsia="Times New Roman" w:hAnsi="Times New Roman"/>
          <w:i/>
          <w:iCs/>
          <w:color w:val="333333"/>
          <w:kern w:val="36"/>
          <w:sz w:val="28"/>
          <w:szCs w:val="28"/>
          <w:lang w:eastAsia="ru-RU"/>
        </w:rPr>
        <w:t xml:space="preserve"> </w:t>
      </w:r>
      <w:r w:rsidRPr="0024599E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«Под знаком милосердия» (Мф. 9, 9-13): проблема соотношения праведности и греха в богословском контексте Евангелия от Матфея (</w:t>
      </w:r>
      <w:r w:rsidRPr="0024599E">
        <w:rPr>
          <w:rFonts w:ascii="Times New Roman" w:eastAsia="Times New Roman" w:hAnsi="Times New Roman"/>
          <w:i/>
          <w:iCs/>
          <w:color w:val="333333"/>
          <w:kern w:val="36"/>
          <w:sz w:val="28"/>
          <w:szCs w:val="28"/>
          <w:lang w:eastAsia="ru-RU"/>
        </w:rPr>
        <w:t>готовится к печати</w:t>
      </w:r>
      <w:r w:rsidRPr="0024599E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)</w:t>
      </w:r>
    </w:p>
    <w:sectPr w:rsidR="00BB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086"/>
    <w:multiLevelType w:val="hybridMultilevel"/>
    <w:tmpl w:val="0FFA2882"/>
    <w:lvl w:ilvl="0" w:tplc="1BE804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B6"/>
    <w:rsid w:val="0006280C"/>
    <w:rsid w:val="004D2CE7"/>
    <w:rsid w:val="00637223"/>
    <w:rsid w:val="006D0D8A"/>
    <w:rsid w:val="00891AB6"/>
    <w:rsid w:val="00B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B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2CE7"/>
    <w:pPr>
      <w:keepNext/>
      <w:keepLines/>
      <w:pageBreakBefore/>
      <w:spacing w:after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CE7"/>
    <w:pPr>
      <w:keepNext/>
      <w:keepLines/>
      <w:spacing w:before="240" w:after="24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C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D2C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viBibliographyEntry">
    <w:name w:val="Citavi Bibliography Entry"/>
    <w:basedOn w:val="Normal"/>
    <w:link w:val="CitaviBibliographyEntryChar"/>
    <w:rsid w:val="0006280C"/>
    <w:pPr>
      <w:tabs>
        <w:tab w:val="left" w:pos="567"/>
      </w:tabs>
      <w:spacing w:after="120" w:line="360" w:lineRule="auto"/>
      <w:ind w:left="567" w:hanging="567"/>
      <w:jc w:val="both"/>
    </w:pPr>
    <w:rPr>
      <w:rFonts w:ascii="Times New Roman" w:hAnsi="Times New Roman"/>
      <w:sz w:val="28"/>
      <w:szCs w:val="20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06280C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B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2CE7"/>
    <w:pPr>
      <w:keepNext/>
      <w:keepLines/>
      <w:pageBreakBefore/>
      <w:spacing w:after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CE7"/>
    <w:pPr>
      <w:keepNext/>
      <w:keepLines/>
      <w:spacing w:before="240" w:after="24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C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D2C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viBibliographyEntry">
    <w:name w:val="Citavi Bibliography Entry"/>
    <w:basedOn w:val="Normal"/>
    <w:link w:val="CitaviBibliographyEntryChar"/>
    <w:rsid w:val="0006280C"/>
    <w:pPr>
      <w:tabs>
        <w:tab w:val="left" w:pos="567"/>
      </w:tabs>
      <w:spacing w:after="120" w:line="360" w:lineRule="auto"/>
      <w:ind w:left="567" w:hanging="567"/>
      <w:jc w:val="both"/>
    </w:pPr>
    <w:rPr>
      <w:rFonts w:ascii="Times New Roman" w:hAnsi="Times New Roman"/>
      <w:sz w:val="28"/>
      <w:szCs w:val="20"/>
    </w:rPr>
  </w:style>
  <w:style w:type="character" w:customStyle="1" w:styleId="CitaviBibliographyEntryChar">
    <w:name w:val="Citavi Bibliography Entry Char"/>
    <w:basedOn w:val="DefaultParagraphFont"/>
    <w:link w:val="CitaviBibliographyEntry"/>
    <w:rsid w:val="0006280C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2020-11-10T08:34:00Z</dcterms:created>
  <dcterms:modified xsi:type="dcterms:W3CDTF">2020-11-10T08:35:00Z</dcterms:modified>
</cp:coreProperties>
</file>